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E98226A">
      <w:pPr>
        <w:pStyle w:val="13"/>
        <w:spacing w:before="0" w:line="240" w:lineRule="auto"/>
        <w:rPr>
          <w:rFonts w:hint="eastAsia" w:ascii="黑体" w:hAnsi="黑体" w:eastAsia="黑体"/>
          <w:sz w:val="44"/>
          <w:szCs w:val="44"/>
        </w:rPr>
      </w:pPr>
    </w:p>
    <w:p w14:paraId="6FBC7AA5">
      <w:pPr>
        <w:pStyle w:val="13"/>
        <w:spacing w:before="0" w:line="240" w:lineRule="auto"/>
        <w:rPr>
          <w:rFonts w:hint="eastAsia" w:ascii="黑体" w:hAnsi="黑体" w:eastAsia="黑体"/>
          <w:sz w:val="36"/>
          <w:szCs w:val="36"/>
        </w:rPr>
      </w:pPr>
    </w:p>
    <w:p w14:paraId="1752377D">
      <w:pPr>
        <w:pStyle w:val="13"/>
        <w:spacing w:before="0" w:line="240" w:lineRule="auto"/>
        <w:rPr>
          <w:rFonts w:hint="eastAsia" w:ascii="黑体" w:hAnsi="黑体" w:eastAsia="黑体"/>
          <w:sz w:val="36"/>
          <w:szCs w:val="36"/>
        </w:rPr>
      </w:pPr>
      <w:r>
        <w:rPr>
          <w:rFonts w:hint="eastAsia" w:ascii="黑体" w:hAnsi="黑体" w:eastAsia="黑体"/>
          <w:sz w:val="36"/>
          <w:szCs w:val="36"/>
        </w:rPr>
        <w:t>《</w:t>
      </w:r>
      <w:bookmarkStart w:id="0" w:name="_GoBack"/>
      <w:r>
        <w:rPr>
          <w:rFonts w:hint="eastAsia" w:ascii="黑体" w:hAnsi="黑体" w:eastAsia="黑体"/>
          <w:sz w:val="36"/>
          <w:szCs w:val="36"/>
        </w:rPr>
        <w:t>工业企业能碳管控中心建设指南</w:t>
      </w:r>
      <w:bookmarkEnd w:id="0"/>
      <w:r>
        <w:rPr>
          <w:rFonts w:hint="eastAsia" w:ascii="黑体" w:hAnsi="黑体" w:eastAsia="黑体"/>
          <w:sz w:val="36"/>
          <w:szCs w:val="36"/>
        </w:rPr>
        <w:t>》</w:t>
      </w:r>
    </w:p>
    <w:p w14:paraId="6A70A970">
      <w:pPr>
        <w:pStyle w:val="13"/>
        <w:spacing w:before="0" w:line="240" w:lineRule="auto"/>
        <w:rPr>
          <w:rFonts w:ascii="黑体" w:hAnsi="黑体" w:eastAsia="黑体"/>
          <w:kern w:val="2"/>
          <w:sz w:val="36"/>
          <w:szCs w:val="36"/>
        </w:rPr>
      </w:pPr>
      <w:r>
        <w:rPr>
          <w:rFonts w:hint="eastAsia" w:ascii="黑体" w:hAnsi="黑体" w:eastAsia="黑体"/>
          <w:kern w:val="2"/>
          <w:sz w:val="36"/>
          <w:szCs w:val="36"/>
        </w:rPr>
        <w:t>团体标准</w:t>
      </w:r>
      <w:r>
        <w:rPr>
          <w:rFonts w:hint="eastAsia" w:ascii="黑体" w:hAnsi="黑体" w:eastAsia="黑体"/>
          <w:sz w:val="36"/>
          <w:szCs w:val="36"/>
        </w:rPr>
        <w:t>编制说明</w:t>
      </w:r>
    </w:p>
    <w:p w14:paraId="7F211E3A">
      <w:pPr>
        <w:jc w:val="center"/>
        <w:rPr>
          <w:b/>
          <w:bCs/>
          <w:sz w:val="44"/>
          <w:szCs w:val="44"/>
        </w:rPr>
      </w:pPr>
      <w:r>
        <w:rPr>
          <w:rFonts w:hint="eastAsia" w:ascii="黑体" w:hAnsi="黑体" w:eastAsia="黑体"/>
          <w:sz w:val="36"/>
          <w:szCs w:val="36"/>
        </w:rPr>
        <w:t>（征求意见稿）</w:t>
      </w:r>
    </w:p>
    <w:p w14:paraId="34919088">
      <w:pPr>
        <w:jc w:val="center"/>
        <w:rPr>
          <w:b/>
          <w:bCs/>
          <w:sz w:val="32"/>
          <w:szCs w:val="32"/>
        </w:rPr>
      </w:pPr>
    </w:p>
    <w:p w14:paraId="4F6275D1">
      <w:pPr>
        <w:jc w:val="center"/>
        <w:rPr>
          <w:b/>
          <w:bCs/>
          <w:sz w:val="32"/>
          <w:szCs w:val="32"/>
        </w:rPr>
      </w:pPr>
    </w:p>
    <w:p w14:paraId="0F4EA68D">
      <w:pPr>
        <w:jc w:val="center"/>
        <w:rPr>
          <w:b/>
          <w:bCs/>
          <w:sz w:val="32"/>
          <w:szCs w:val="32"/>
        </w:rPr>
      </w:pPr>
    </w:p>
    <w:p w14:paraId="5758179C">
      <w:pPr>
        <w:jc w:val="center"/>
        <w:rPr>
          <w:b/>
          <w:bCs/>
          <w:sz w:val="32"/>
          <w:szCs w:val="32"/>
        </w:rPr>
      </w:pPr>
    </w:p>
    <w:p w14:paraId="698E91D6">
      <w:pPr>
        <w:jc w:val="center"/>
        <w:rPr>
          <w:b/>
          <w:bCs/>
          <w:sz w:val="32"/>
          <w:szCs w:val="32"/>
        </w:rPr>
      </w:pPr>
    </w:p>
    <w:p w14:paraId="1D7DBA9A">
      <w:pPr>
        <w:jc w:val="center"/>
        <w:rPr>
          <w:b/>
          <w:bCs/>
          <w:sz w:val="32"/>
          <w:szCs w:val="32"/>
        </w:rPr>
      </w:pPr>
    </w:p>
    <w:p w14:paraId="7B6C6315">
      <w:pPr>
        <w:jc w:val="center"/>
        <w:rPr>
          <w:b/>
          <w:bCs/>
          <w:sz w:val="32"/>
          <w:szCs w:val="32"/>
        </w:rPr>
      </w:pPr>
    </w:p>
    <w:p w14:paraId="0822253A">
      <w:pPr>
        <w:jc w:val="center"/>
        <w:rPr>
          <w:b/>
          <w:bCs/>
          <w:sz w:val="32"/>
          <w:szCs w:val="32"/>
        </w:rPr>
      </w:pPr>
    </w:p>
    <w:p w14:paraId="20FADAA5">
      <w:pPr>
        <w:jc w:val="center"/>
        <w:rPr>
          <w:b/>
          <w:bCs/>
          <w:sz w:val="32"/>
          <w:szCs w:val="32"/>
        </w:rPr>
      </w:pPr>
    </w:p>
    <w:p w14:paraId="52A2A4BC">
      <w:pPr>
        <w:jc w:val="center"/>
        <w:rPr>
          <w:b/>
          <w:bCs/>
          <w:sz w:val="32"/>
          <w:szCs w:val="32"/>
        </w:rPr>
      </w:pPr>
    </w:p>
    <w:p w14:paraId="4496B45C">
      <w:pPr>
        <w:jc w:val="center"/>
        <w:rPr>
          <w:b/>
          <w:bCs/>
          <w:sz w:val="32"/>
          <w:szCs w:val="32"/>
        </w:rPr>
      </w:pPr>
    </w:p>
    <w:p w14:paraId="6492151F">
      <w:pPr>
        <w:jc w:val="center"/>
        <w:rPr>
          <w:b/>
          <w:bCs/>
          <w:sz w:val="32"/>
          <w:szCs w:val="32"/>
        </w:rPr>
      </w:pPr>
    </w:p>
    <w:p w14:paraId="53412F16">
      <w:pPr>
        <w:jc w:val="center"/>
        <w:rPr>
          <w:rFonts w:hint="eastAsia" w:ascii="黑体" w:hAnsi="黑体" w:eastAsia="黑体" w:cs="黑体"/>
          <w:b w:val="0"/>
          <w:bCs w:val="0"/>
          <w:sz w:val="36"/>
          <w:szCs w:val="36"/>
        </w:rPr>
      </w:pPr>
      <w:r>
        <w:rPr>
          <w:rFonts w:hint="eastAsia" w:ascii="黑体" w:hAnsi="黑体" w:eastAsia="黑体" w:cs="黑体"/>
          <w:b w:val="0"/>
          <w:bCs w:val="0"/>
          <w:sz w:val="36"/>
          <w:szCs w:val="36"/>
        </w:rPr>
        <w:t>标准起草组</w:t>
      </w:r>
    </w:p>
    <w:p w14:paraId="06B83D41">
      <w:pPr>
        <w:jc w:val="center"/>
        <w:rPr>
          <w:b/>
          <w:bCs/>
          <w:sz w:val="44"/>
          <w:szCs w:val="44"/>
        </w:rPr>
      </w:pPr>
      <w:r>
        <w:rPr>
          <w:rFonts w:hint="eastAsia" w:ascii="黑体" w:hAnsi="黑体" w:eastAsia="黑体" w:cs="黑体"/>
          <w:b w:val="0"/>
          <w:bCs w:val="0"/>
          <w:sz w:val="36"/>
          <w:szCs w:val="36"/>
        </w:rPr>
        <w:t>202</w:t>
      </w:r>
      <w:r>
        <w:rPr>
          <w:rFonts w:hint="eastAsia" w:ascii="黑体" w:hAnsi="黑体" w:eastAsia="黑体" w:cs="黑体"/>
          <w:b w:val="0"/>
          <w:bCs w:val="0"/>
          <w:sz w:val="36"/>
          <w:szCs w:val="36"/>
          <w:lang w:val="en-US" w:eastAsia="zh-CN"/>
        </w:rPr>
        <w:t>5</w:t>
      </w:r>
      <w:r>
        <w:rPr>
          <w:rFonts w:hint="eastAsia" w:ascii="黑体" w:hAnsi="黑体" w:eastAsia="黑体" w:cs="黑体"/>
          <w:b w:val="0"/>
          <w:bCs w:val="0"/>
          <w:sz w:val="36"/>
          <w:szCs w:val="36"/>
        </w:rPr>
        <w:t>年</w:t>
      </w:r>
      <w:r>
        <w:rPr>
          <w:rFonts w:hint="eastAsia" w:ascii="黑体" w:hAnsi="黑体" w:eastAsia="黑体" w:cs="黑体"/>
          <w:b w:val="0"/>
          <w:bCs w:val="0"/>
          <w:sz w:val="36"/>
          <w:szCs w:val="36"/>
          <w:lang w:val="en-US" w:eastAsia="zh-CN"/>
        </w:rPr>
        <w:t>2</w:t>
      </w:r>
      <w:r>
        <w:rPr>
          <w:rFonts w:hint="eastAsia" w:ascii="黑体" w:hAnsi="黑体" w:eastAsia="黑体" w:cs="黑体"/>
          <w:b w:val="0"/>
          <w:bCs w:val="0"/>
          <w:sz w:val="36"/>
          <w:szCs w:val="36"/>
        </w:rPr>
        <w:t>月</w:t>
      </w:r>
    </w:p>
    <w:p w14:paraId="18A3F20E">
      <w:pPr>
        <w:widowControl/>
        <w:jc w:val="center"/>
        <w:rPr>
          <w:rFonts w:ascii="仿宋" w:hAnsi="仿宋" w:eastAsia="仿宋" w:cs="仿宋"/>
          <w:b/>
          <w:bCs/>
          <w:color w:val="000000"/>
          <w:kern w:val="0"/>
          <w:sz w:val="32"/>
          <w:szCs w:val="32"/>
          <w:lang w:bidi="ar"/>
        </w:rPr>
        <w:sectPr>
          <w:pgSz w:w="11906" w:h="16838"/>
          <w:pgMar w:top="1440" w:right="1800" w:bottom="1440" w:left="1800" w:header="851" w:footer="992" w:gutter="0"/>
          <w:cols w:space="425" w:num="1"/>
          <w:docGrid w:type="lines" w:linePitch="312" w:charSpace="0"/>
        </w:sectPr>
      </w:pPr>
    </w:p>
    <w:p w14:paraId="1893D4AA">
      <w:pPr>
        <w:pStyle w:val="2"/>
        <w:numPr>
          <w:ilvl w:val="0"/>
          <w:numId w:val="2"/>
        </w:numPr>
        <w:rPr>
          <w:rFonts w:ascii="仿宋" w:hAnsi="仿宋" w:eastAsia="仿宋" w:cs="仿宋"/>
        </w:rPr>
      </w:pPr>
      <w:r>
        <w:rPr>
          <w:rFonts w:hint="eastAsia" w:ascii="仿宋" w:hAnsi="仿宋" w:eastAsia="仿宋" w:cs="仿宋"/>
        </w:rPr>
        <w:t>工作简况</w:t>
      </w:r>
    </w:p>
    <w:p w14:paraId="7A523BB8">
      <w:pPr>
        <w:pStyle w:val="3"/>
        <w:numPr>
          <w:ilvl w:val="0"/>
          <w:numId w:val="3"/>
        </w:numPr>
        <w:rPr>
          <w:rFonts w:ascii="仿宋" w:hAnsi="仿宋" w:eastAsia="仿宋" w:cs="仿宋"/>
          <w:spacing w:val="-8"/>
          <w:szCs w:val="28"/>
        </w:rPr>
      </w:pPr>
      <w:r>
        <w:rPr>
          <w:rFonts w:hint="eastAsia" w:ascii="仿宋" w:hAnsi="仿宋" w:eastAsia="仿宋" w:cs="仿宋"/>
        </w:rPr>
        <w:t>任务来源</w:t>
      </w:r>
    </w:p>
    <w:p w14:paraId="32043E27">
      <w:pPr>
        <w:keepNext w:val="0"/>
        <w:keepLines w:val="0"/>
        <w:pageBreakBefore w:val="0"/>
        <w:widowControl/>
        <w:suppressLineNumbers w:val="0"/>
        <w:kinsoku/>
        <w:wordWrap/>
        <w:overflowPunct/>
        <w:topLinePunct w:val="0"/>
        <w:autoSpaceDE/>
        <w:autoSpaceDN/>
        <w:bidi w:val="0"/>
        <w:adjustRightInd/>
        <w:snapToGrid/>
        <w:ind w:firstLine="560" w:firstLineChars="200"/>
        <w:jc w:val="left"/>
        <w:textAlignment w:val="auto"/>
        <w:rPr>
          <w:rFonts w:hint="eastAsia" w:ascii="仿宋" w:hAnsi="仿宋" w:eastAsia="仿宋" w:cs="Times New Roman"/>
          <w:kern w:val="0"/>
          <w:sz w:val="28"/>
          <w:szCs w:val="36"/>
          <w:lang w:val="en-US" w:eastAsia="zh-CN" w:bidi="ar-SA"/>
        </w:rPr>
      </w:pPr>
      <w:r>
        <w:rPr>
          <w:rFonts w:hint="eastAsia" w:ascii="仿宋" w:hAnsi="仿宋" w:eastAsia="仿宋" w:cs="Times New Roman"/>
          <w:kern w:val="0"/>
          <w:sz w:val="28"/>
          <w:szCs w:val="36"/>
          <w:lang w:val="en-US" w:eastAsia="zh-CN" w:bidi="ar-SA"/>
        </w:rPr>
        <w:t>在全球应对气候变化、我国全力推进碳达峰碳中和目标的关键时期，工业行业在能源消耗与碳排放方面的地位备受瞩目。数据显示，工业行业的能耗与碳排放占到了我国能源消耗及二氧化碳排放总量的三分之二以上。</w:t>
      </w:r>
    </w:p>
    <w:p w14:paraId="018CE61F">
      <w:pPr>
        <w:keepNext w:val="0"/>
        <w:keepLines w:val="0"/>
        <w:pageBreakBefore w:val="0"/>
        <w:widowControl/>
        <w:suppressLineNumbers w:val="0"/>
        <w:kinsoku/>
        <w:wordWrap/>
        <w:overflowPunct/>
        <w:topLinePunct w:val="0"/>
        <w:autoSpaceDE/>
        <w:autoSpaceDN/>
        <w:bidi w:val="0"/>
        <w:adjustRightInd/>
        <w:snapToGrid/>
        <w:ind w:firstLine="560" w:firstLineChars="200"/>
        <w:jc w:val="left"/>
        <w:textAlignment w:val="auto"/>
        <w:rPr>
          <w:rFonts w:hint="eastAsia" w:ascii="仿宋" w:hAnsi="仿宋" w:eastAsia="仿宋" w:cs="Times New Roman"/>
          <w:kern w:val="0"/>
          <w:sz w:val="28"/>
          <w:szCs w:val="36"/>
          <w:lang w:val="en-US" w:eastAsia="zh-CN" w:bidi="ar-SA"/>
        </w:rPr>
      </w:pPr>
      <w:r>
        <w:rPr>
          <w:rFonts w:hint="eastAsia" w:ascii="仿宋" w:hAnsi="仿宋" w:eastAsia="仿宋" w:cs="Times New Roman"/>
          <w:kern w:val="0"/>
          <w:sz w:val="28"/>
          <w:szCs w:val="36"/>
          <w:lang w:val="en-US" w:eastAsia="zh-CN" w:bidi="ar-SA"/>
        </w:rPr>
        <w:t>当前，传统的工业生产模式在创造巨大经济价值的同时，也带来了不可忽视的能源与环境问题。高能耗、高碳排放不仅制约着工业自身的可持续发展，还对生态环境造成了沉重压力。因此，提升工业企业能耗与碳排放管理水平，促进工业部门节能降碳，已成为实现碳达峰碳中和目标的核心环节和有效支撑。</w:t>
      </w:r>
    </w:p>
    <w:p w14:paraId="799DDC0E">
      <w:pPr>
        <w:keepNext w:val="0"/>
        <w:keepLines w:val="0"/>
        <w:pageBreakBefore w:val="0"/>
        <w:widowControl/>
        <w:suppressLineNumbers w:val="0"/>
        <w:kinsoku/>
        <w:wordWrap/>
        <w:overflowPunct/>
        <w:topLinePunct w:val="0"/>
        <w:autoSpaceDE/>
        <w:autoSpaceDN/>
        <w:bidi w:val="0"/>
        <w:adjustRightInd/>
        <w:snapToGrid/>
        <w:ind w:firstLine="560" w:firstLineChars="200"/>
        <w:jc w:val="left"/>
        <w:textAlignment w:val="auto"/>
        <w:rPr>
          <w:rFonts w:hint="eastAsia" w:ascii="仿宋" w:hAnsi="仿宋" w:eastAsia="仿宋" w:cs="Times New Roman"/>
          <w:kern w:val="0"/>
          <w:sz w:val="28"/>
          <w:szCs w:val="36"/>
          <w:lang w:val="en-US" w:eastAsia="zh-CN" w:bidi="ar-SA"/>
        </w:rPr>
      </w:pPr>
      <w:r>
        <w:rPr>
          <w:rFonts w:hint="eastAsia" w:ascii="仿宋" w:hAnsi="仿宋" w:eastAsia="仿宋" w:cs="Times New Roman"/>
          <w:kern w:val="0"/>
          <w:sz w:val="28"/>
          <w:szCs w:val="36"/>
          <w:lang w:val="en-US" w:eastAsia="zh-CN" w:bidi="ar-SA"/>
        </w:rPr>
        <w:t>为积极响应国家政策号召，深入贯彻落实《工业领域碳达峰实施方案》的有关精神，为</w:t>
      </w:r>
      <w:r>
        <w:rPr>
          <w:rFonts w:hint="eastAsia" w:ascii="仿宋" w:hAnsi="仿宋" w:eastAsia="仿宋" w:cs="Times New Roman"/>
          <w:kern w:val="0"/>
          <w:sz w:val="28"/>
          <w:szCs w:val="36"/>
          <w:lang w:val="en-US" w:eastAsia="zh-CN" w:bidi="ar-SA"/>
        </w:rPr>
        <w:t>推动建立工业企业数字化碳管理体系，助力我国能耗双控逐步转向碳排放双控，从而实现更加科学、精准的碳排放管理。</w:t>
      </w:r>
      <w:r>
        <w:rPr>
          <w:rFonts w:hint="eastAsia" w:ascii="仿宋" w:hAnsi="仿宋" w:eastAsia="仿宋" w:cs="Times New Roman"/>
          <w:kern w:val="0"/>
          <w:sz w:val="28"/>
          <w:szCs w:val="36"/>
          <w:lang w:val="en-US" w:eastAsia="zh-CN" w:bidi="ar-SA"/>
        </w:rPr>
        <w:t>中关村现代能源环境服务产业联盟充分发挥行业引领作用，于2024年度正式启动《工业企业能碳管控中心建设规范》团体标准编制工作。2024年6月，这一具有重要意义的项目正式获得批准立项，并被顺利列入2024年计划，计划编号为：EES 2024-J003。</w:t>
      </w:r>
    </w:p>
    <w:p w14:paraId="50CE192F">
      <w:pPr>
        <w:pStyle w:val="3"/>
        <w:numPr>
          <w:ilvl w:val="0"/>
          <w:numId w:val="3"/>
        </w:numPr>
        <w:rPr>
          <w:rFonts w:hint="eastAsia" w:ascii="仿宋" w:hAnsi="仿宋" w:eastAsia="仿宋" w:cs="仿宋"/>
          <w:b/>
          <w:bCs/>
          <w:spacing w:val="-4"/>
          <w:kern w:val="2"/>
          <w:sz w:val="28"/>
          <w:szCs w:val="28"/>
          <w:lang w:val="en-US" w:eastAsia="zh-CN" w:bidi="ar-SA"/>
        </w:rPr>
      </w:pPr>
      <w:r>
        <w:rPr>
          <w:rFonts w:hint="eastAsia" w:ascii="仿宋" w:hAnsi="仿宋" w:eastAsia="仿宋" w:cs="仿宋"/>
        </w:rPr>
        <w:t>工作过程</w:t>
      </w:r>
    </w:p>
    <w:p w14:paraId="22817B8A">
      <w:pPr>
        <w:pStyle w:val="3"/>
        <w:numPr>
          <w:ilvl w:val="1"/>
          <w:numId w:val="3"/>
        </w:numPr>
        <w:ind w:left="10" w:leftChars="0" w:hanging="10" w:firstLineChars="0"/>
        <w:rPr>
          <w:rFonts w:hint="eastAsia" w:ascii="仿宋" w:hAnsi="仿宋" w:eastAsia="仿宋" w:cs="仿宋"/>
          <w:b/>
          <w:bCs/>
          <w:spacing w:val="-4"/>
          <w:kern w:val="2"/>
          <w:sz w:val="28"/>
          <w:szCs w:val="28"/>
          <w:lang w:val="en-US" w:eastAsia="zh-CN" w:bidi="ar-SA"/>
        </w:rPr>
      </w:pPr>
      <w:r>
        <w:rPr>
          <w:rFonts w:hint="eastAsia" w:ascii="仿宋" w:hAnsi="仿宋" w:eastAsia="仿宋" w:cs="仿宋"/>
          <w:b/>
          <w:bCs/>
          <w:spacing w:val="-4"/>
          <w:kern w:val="2"/>
          <w:sz w:val="28"/>
          <w:szCs w:val="28"/>
          <w:lang w:val="en-US" w:eastAsia="zh-CN" w:bidi="ar-SA"/>
        </w:rPr>
        <w:t>筹备起草组</w:t>
      </w:r>
    </w:p>
    <w:p w14:paraId="0B2BBD7F">
      <w:pPr>
        <w:keepNext w:val="0"/>
        <w:keepLines w:val="0"/>
        <w:widowControl/>
        <w:suppressLineNumbers w:val="0"/>
        <w:ind w:firstLine="560" w:firstLineChars="200"/>
        <w:jc w:val="left"/>
      </w:pPr>
      <w:r>
        <w:rPr>
          <w:rFonts w:hint="eastAsia" w:ascii="仿宋" w:hAnsi="仿宋" w:eastAsia="仿宋" w:cs="Times New Roman"/>
          <w:kern w:val="0"/>
          <w:sz w:val="28"/>
          <w:szCs w:val="36"/>
          <w:lang w:val="en-US" w:eastAsia="zh-CN" w:bidi="ar-SA"/>
        </w:rPr>
        <w:t>联盟邀请了工业企业能源管理专家、碳排放核算权威、信息化技术精英等多方专业人士，组建了跨领域起草组，为标准制定提供全方位专业支持。</w:t>
      </w:r>
    </w:p>
    <w:p w14:paraId="48E8D0DC">
      <w:pPr>
        <w:pStyle w:val="3"/>
        <w:numPr>
          <w:ilvl w:val="1"/>
          <w:numId w:val="3"/>
        </w:numPr>
        <w:ind w:left="10" w:leftChars="0" w:hanging="10" w:firstLineChars="0"/>
        <w:rPr>
          <w:rFonts w:hint="eastAsia" w:ascii="仿宋" w:hAnsi="仿宋" w:eastAsia="仿宋" w:cs="仿宋"/>
          <w:b/>
          <w:bCs/>
          <w:spacing w:val="-4"/>
          <w:kern w:val="2"/>
          <w:sz w:val="28"/>
          <w:szCs w:val="28"/>
          <w:lang w:val="en-US" w:eastAsia="zh-CN" w:bidi="ar-SA"/>
        </w:rPr>
      </w:pPr>
      <w:r>
        <w:rPr>
          <w:rFonts w:hint="eastAsia" w:ascii="仿宋" w:hAnsi="仿宋" w:eastAsia="仿宋" w:cs="仿宋"/>
          <w:b/>
          <w:bCs/>
          <w:spacing w:val="-4"/>
          <w:kern w:val="2"/>
          <w:sz w:val="28"/>
          <w:szCs w:val="28"/>
          <w:lang w:val="en-US" w:eastAsia="zh-CN" w:bidi="ar-SA"/>
        </w:rPr>
        <w:t>开展调研</w:t>
      </w:r>
    </w:p>
    <w:p w14:paraId="5ADD2482">
      <w:pPr>
        <w:keepNext w:val="0"/>
        <w:keepLines w:val="0"/>
        <w:widowControl/>
        <w:suppressLineNumbers w:val="0"/>
        <w:ind w:firstLine="560" w:firstLineChars="200"/>
        <w:jc w:val="left"/>
        <w:rPr>
          <w:rFonts w:hint="eastAsia" w:ascii="仿宋" w:hAnsi="仿宋" w:eastAsia="仿宋" w:cs="Times New Roman"/>
          <w:kern w:val="0"/>
          <w:sz w:val="28"/>
          <w:szCs w:val="36"/>
          <w:lang w:val="en-US" w:eastAsia="zh-CN" w:bidi="ar-SA"/>
        </w:rPr>
      </w:pPr>
      <w:r>
        <w:rPr>
          <w:rFonts w:hint="eastAsia" w:ascii="仿宋" w:hAnsi="仿宋" w:eastAsia="仿宋" w:cs="Times New Roman"/>
          <w:kern w:val="0"/>
          <w:sz w:val="28"/>
          <w:szCs w:val="36"/>
          <w:lang w:val="en-US" w:eastAsia="zh-CN" w:bidi="ar-SA"/>
        </w:rPr>
        <w:t>在编制标准时，起草组高度重视调研分析工作，力求为标准内容筑牢实践根基。收集参考标准的11项，涵盖了涵盖了工业企业能源与碳排放管理多个关键方面，包括能耗计算、能源管理、计量器具配备、测量体系、信息安全、温室气体排放核算等，为工业企业能碳管控中心建设提供全面规范。</w:t>
      </w:r>
    </w:p>
    <w:p w14:paraId="7F3C2A09">
      <w:pPr>
        <w:keepNext w:val="0"/>
        <w:keepLines w:val="0"/>
        <w:widowControl/>
        <w:suppressLineNumbers w:val="0"/>
        <w:ind w:firstLine="560" w:firstLineChars="200"/>
        <w:jc w:val="left"/>
        <w:rPr>
          <w:rFonts w:hint="eastAsia" w:ascii="宋体" w:hAnsi="宋体" w:eastAsia="仿宋" w:cs="宋体"/>
          <w:color w:val="auto"/>
          <w:szCs w:val="21"/>
          <w:highlight w:val="none"/>
          <w:lang w:val="en-US" w:eastAsia="zh-CN"/>
        </w:rPr>
      </w:pPr>
      <w:r>
        <w:rPr>
          <w:rFonts w:hint="eastAsia" w:ascii="仿宋" w:hAnsi="仿宋" w:eastAsia="仿宋" w:cs="Times New Roman"/>
          <w:kern w:val="0"/>
          <w:sz w:val="28"/>
          <w:szCs w:val="36"/>
          <w:lang w:val="en-US" w:eastAsia="zh-CN" w:bidi="ar-SA"/>
        </w:rPr>
        <w:t>联盟深入开展调研工作，以起草单位工业企业能碳管控平台的实际应用为重要依据，全面收集平台企业实际需求及平台应用情况，仔细梳理归纳，为标准编制提供有力的实践支撑。</w:t>
      </w:r>
    </w:p>
    <w:p w14:paraId="26A15B78">
      <w:pPr>
        <w:pStyle w:val="3"/>
        <w:numPr>
          <w:ilvl w:val="1"/>
          <w:numId w:val="3"/>
        </w:numPr>
        <w:ind w:left="10" w:leftChars="0" w:hanging="10" w:firstLineChars="0"/>
        <w:rPr>
          <w:rFonts w:hint="eastAsia" w:ascii="仿宋" w:hAnsi="仿宋" w:eastAsia="仿宋" w:cs="仿宋"/>
          <w:b/>
          <w:bCs/>
          <w:spacing w:val="-4"/>
          <w:kern w:val="2"/>
          <w:sz w:val="28"/>
          <w:szCs w:val="28"/>
          <w:lang w:val="en-US" w:eastAsia="zh-CN" w:bidi="ar-SA"/>
        </w:rPr>
      </w:pPr>
      <w:r>
        <w:rPr>
          <w:rFonts w:hint="eastAsia" w:ascii="仿宋" w:hAnsi="仿宋" w:eastAsia="仿宋" w:cs="仿宋"/>
          <w:b/>
          <w:bCs/>
          <w:spacing w:val="-4"/>
          <w:kern w:val="2"/>
          <w:sz w:val="28"/>
          <w:szCs w:val="28"/>
          <w:lang w:val="en-US" w:eastAsia="zh-CN" w:bidi="ar-SA"/>
        </w:rPr>
        <w:t xml:space="preserve">领域及行业专家研讨，形成标准草案文本 </w:t>
      </w:r>
    </w:p>
    <w:p w14:paraId="173ED261">
      <w:pPr>
        <w:spacing w:before="147" w:line="413" w:lineRule="auto"/>
        <w:ind w:left="20" w:right="10" w:firstLine="674"/>
        <w:rPr>
          <w:rFonts w:ascii="仿宋" w:hAnsi="仿宋" w:eastAsia="仿宋" w:cs="仿宋"/>
          <w:spacing w:val="-4"/>
          <w:sz w:val="28"/>
          <w:szCs w:val="28"/>
        </w:rPr>
      </w:pPr>
      <w:r>
        <w:rPr>
          <w:rFonts w:hint="eastAsia" w:ascii="仿宋" w:hAnsi="仿宋" w:eastAsia="仿宋" w:cs="仿宋"/>
          <w:spacing w:val="-4"/>
          <w:sz w:val="28"/>
          <w:szCs w:val="28"/>
        </w:rPr>
        <w:t>标准起草组先后经过多次讨论和专家咨询，进一步确定标准的主体内容，最终形成标准技术草案。</w:t>
      </w:r>
    </w:p>
    <w:p w14:paraId="60198729">
      <w:pPr>
        <w:pStyle w:val="3"/>
        <w:numPr>
          <w:ilvl w:val="1"/>
          <w:numId w:val="3"/>
        </w:numPr>
        <w:ind w:left="10" w:leftChars="0" w:hanging="10" w:firstLineChars="0"/>
        <w:rPr>
          <w:rFonts w:hint="eastAsia" w:ascii="仿宋" w:hAnsi="仿宋" w:eastAsia="仿宋" w:cs="仿宋"/>
          <w:b/>
          <w:bCs/>
          <w:spacing w:val="-4"/>
          <w:kern w:val="2"/>
          <w:sz w:val="28"/>
          <w:szCs w:val="28"/>
          <w:lang w:val="en-US" w:eastAsia="zh-CN" w:bidi="ar-SA"/>
        </w:rPr>
      </w:pPr>
      <w:r>
        <w:rPr>
          <w:rFonts w:hint="eastAsia" w:ascii="仿宋" w:hAnsi="仿宋" w:eastAsia="仿宋" w:cs="仿宋"/>
          <w:b/>
          <w:bCs/>
          <w:spacing w:val="-4"/>
          <w:kern w:val="2"/>
          <w:sz w:val="28"/>
          <w:szCs w:val="28"/>
          <w:lang w:val="en-US" w:eastAsia="zh-CN" w:bidi="ar-SA"/>
        </w:rPr>
        <w:t>通过标准立项评审</w:t>
      </w:r>
    </w:p>
    <w:p w14:paraId="4E632B60">
      <w:pPr>
        <w:spacing w:before="147" w:line="413" w:lineRule="auto"/>
        <w:ind w:left="20" w:right="10" w:firstLine="674"/>
        <w:rPr>
          <w:rFonts w:hint="eastAsia" w:ascii="仿宋" w:hAnsi="仿宋" w:eastAsia="仿宋" w:cs="仿宋"/>
          <w:spacing w:val="-4"/>
          <w:sz w:val="28"/>
          <w:szCs w:val="28"/>
        </w:rPr>
      </w:pPr>
      <w:r>
        <w:rPr>
          <w:rFonts w:hint="eastAsia" w:ascii="仿宋" w:hAnsi="仿宋" w:eastAsia="仿宋" w:cs="仿宋"/>
          <w:spacing w:val="-4"/>
          <w:sz w:val="28"/>
          <w:szCs w:val="28"/>
        </w:rPr>
        <w:t>202</w:t>
      </w:r>
      <w:r>
        <w:rPr>
          <w:rFonts w:hint="eastAsia" w:ascii="仿宋" w:hAnsi="仿宋" w:eastAsia="仿宋" w:cs="仿宋"/>
          <w:spacing w:val="-4"/>
          <w:sz w:val="28"/>
          <w:szCs w:val="28"/>
          <w:lang w:val="en-US" w:eastAsia="zh-CN"/>
        </w:rPr>
        <w:t>4</w:t>
      </w:r>
      <w:r>
        <w:rPr>
          <w:rFonts w:hint="eastAsia" w:ascii="仿宋" w:hAnsi="仿宋" w:eastAsia="仿宋" w:cs="仿宋"/>
          <w:spacing w:val="-4"/>
          <w:sz w:val="28"/>
          <w:szCs w:val="28"/>
        </w:rPr>
        <w:t>年</w:t>
      </w:r>
      <w:r>
        <w:rPr>
          <w:rFonts w:hint="eastAsia" w:ascii="仿宋" w:hAnsi="仿宋" w:eastAsia="仿宋" w:cs="仿宋"/>
          <w:spacing w:val="-4"/>
          <w:sz w:val="28"/>
          <w:szCs w:val="28"/>
          <w:lang w:val="en-US" w:eastAsia="zh-CN"/>
        </w:rPr>
        <w:t>6</w:t>
      </w:r>
      <w:r>
        <w:rPr>
          <w:rFonts w:hint="eastAsia" w:ascii="仿宋" w:hAnsi="仿宋" w:eastAsia="仿宋" w:cs="仿宋"/>
          <w:spacing w:val="-4"/>
          <w:sz w:val="28"/>
          <w:szCs w:val="28"/>
        </w:rPr>
        <w:t>月</w:t>
      </w:r>
      <w:r>
        <w:rPr>
          <w:rFonts w:hint="eastAsia" w:ascii="仿宋" w:hAnsi="仿宋" w:eastAsia="仿宋" w:cs="仿宋"/>
          <w:spacing w:val="-4"/>
          <w:sz w:val="28"/>
          <w:szCs w:val="28"/>
          <w:lang w:val="en-US" w:eastAsia="zh-CN"/>
        </w:rPr>
        <w:t>27</w:t>
      </w:r>
      <w:r>
        <w:rPr>
          <w:rFonts w:hint="eastAsia" w:ascii="仿宋" w:hAnsi="仿宋" w:eastAsia="仿宋" w:cs="仿宋"/>
          <w:spacing w:val="-4"/>
          <w:sz w:val="28"/>
          <w:szCs w:val="28"/>
        </w:rPr>
        <w:t>日，按照中关村现代能源环境服务产业联盟团体标准立项要求，完成标准立项。</w:t>
      </w:r>
    </w:p>
    <w:p w14:paraId="45BE2E79">
      <w:pPr>
        <w:pStyle w:val="3"/>
        <w:numPr>
          <w:ilvl w:val="1"/>
          <w:numId w:val="3"/>
        </w:numPr>
        <w:ind w:left="10" w:leftChars="0" w:hanging="10" w:firstLineChars="0"/>
        <w:rPr>
          <w:rFonts w:hint="eastAsia" w:ascii="仿宋" w:hAnsi="仿宋" w:eastAsia="仿宋" w:cs="仿宋"/>
          <w:b/>
          <w:bCs/>
          <w:spacing w:val="-4"/>
          <w:kern w:val="2"/>
          <w:sz w:val="28"/>
          <w:szCs w:val="28"/>
          <w:lang w:val="en-US" w:eastAsia="zh-CN" w:bidi="ar-SA"/>
        </w:rPr>
      </w:pPr>
      <w:r>
        <w:rPr>
          <w:rFonts w:hint="eastAsia" w:ascii="仿宋" w:hAnsi="仿宋" w:eastAsia="仿宋" w:cs="仿宋"/>
          <w:b/>
          <w:bCs/>
          <w:spacing w:val="-4"/>
          <w:kern w:val="2"/>
          <w:sz w:val="28"/>
          <w:szCs w:val="28"/>
          <w:lang w:val="en-US" w:eastAsia="zh-CN" w:bidi="ar-SA"/>
        </w:rPr>
        <w:t>持续研究，形成征求意见稿</w:t>
      </w:r>
    </w:p>
    <w:p w14:paraId="60EF4221">
      <w:pPr>
        <w:pStyle w:val="11"/>
        <w:rPr>
          <w:rFonts w:hint="default" w:eastAsia="仿宋"/>
          <w:lang w:val="en-US" w:eastAsia="zh-CN"/>
        </w:rPr>
      </w:pPr>
      <w:r>
        <w:rPr>
          <w:rFonts w:hint="eastAsia" w:ascii="仿宋" w:hAnsi="仿宋" w:eastAsia="仿宋" w:cs="仿宋"/>
          <w:spacing w:val="-4"/>
          <w:sz w:val="28"/>
          <w:szCs w:val="28"/>
          <w:lang w:val="en-US" w:eastAsia="zh-CN"/>
        </w:rPr>
        <w:t>标准起草组讨论稿通过立项评估之后，起草组组织专家研讨会，对草案进行修改和完善，于2025年2月形成标准征求意见稿。</w:t>
      </w:r>
    </w:p>
    <w:p w14:paraId="47441A51">
      <w:pPr>
        <w:pStyle w:val="2"/>
        <w:numPr>
          <w:ilvl w:val="0"/>
          <w:numId w:val="2"/>
        </w:numPr>
        <w:rPr>
          <w:rFonts w:ascii="仿宋" w:hAnsi="仿宋" w:eastAsia="仿宋" w:cs="仿宋"/>
        </w:rPr>
      </w:pPr>
      <w:r>
        <w:rPr>
          <w:rFonts w:hint="eastAsia" w:ascii="仿宋" w:hAnsi="仿宋" w:eastAsia="仿宋" w:cs="仿宋"/>
        </w:rPr>
        <w:t>标准编制原则和主要内容</w:t>
      </w:r>
    </w:p>
    <w:p w14:paraId="1AB2709E">
      <w:pPr>
        <w:pStyle w:val="3"/>
        <w:numPr>
          <w:ilvl w:val="0"/>
          <w:numId w:val="4"/>
        </w:numPr>
        <w:rPr>
          <w:rFonts w:hint="eastAsia" w:ascii="仿宋" w:hAnsi="仿宋" w:eastAsia="仿宋" w:cs="仿宋"/>
          <w:lang w:val="en-US" w:eastAsia="zh-CN"/>
        </w:rPr>
      </w:pPr>
      <w:r>
        <w:rPr>
          <w:rFonts w:hint="eastAsia" w:ascii="仿宋" w:hAnsi="仿宋" w:eastAsia="仿宋" w:cs="仿宋"/>
          <w:lang w:val="en-US" w:eastAsia="zh-CN"/>
        </w:rPr>
        <w:t>标准制定原则</w:t>
      </w:r>
    </w:p>
    <w:p w14:paraId="1E98E4FB">
      <w:pPr>
        <w:pStyle w:val="3"/>
        <w:numPr>
          <w:ilvl w:val="1"/>
          <w:numId w:val="5"/>
        </w:numPr>
        <w:ind w:left="0" w:leftChars="0" w:firstLine="0" w:firstLineChars="0"/>
        <w:rPr>
          <w:rFonts w:hint="eastAsia" w:ascii="仿宋" w:hAnsi="仿宋" w:eastAsia="仿宋" w:cs="仿宋"/>
          <w:b w:val="0"/>
          <w:spacing w:val="-4"/>
          <w:kern w:val="2"/>
          <w:sz w:val="28"/>
          <w:szCs w:val="28"/>
          <w:lang w:val="en-US" w:eastAsia="zh-CN" w:bidi="ar-SA"/>
        </w:rPr>
      </w:pPr>
      <w:r>
        <w:rPr>
          <w:rFonts w:hint="eastAsia" w:ascii="仿宋" w:hAnsi="仿宋" w:eastAsia="仿宋" w:cs="仿宋"/>
          <w:b/>
          <w:bCs/>
          <w:spacing w:val="-4"/>
          <w:kern w:val="2"/>
          <w:sz w:val="28"/>
          <w:szCs w:val="28"/>
          <w:lang w:val="en-US" w:eastAsia="zh-CN" w:bidi="ar-SA"/>
        </w:rPr>
        <w:t>规范性原则。</w:t>
      </w:r>
      <w:r>
        <w:rPr>
          <w:rFonts w:hint="eastAsia" w:ascii="仿宋" w:hAnsi="仿宋" w:eastAsia="仿宋" w:cs="仿宋"/>
          <w:b w:val="0"/>
          <w:spacing w:val="-4"/>
          <w:kern w:val="2"/>
          <w:sz w:val="28"/>
          <w:szCs w:val="28"/>
          <w:lang w:val="en-US" w:eastAsia="zh-CN" w:bidi="ar-SA"/>
        </w:rPr>
        <w:t>本标准按照GB/T1,1-2020《标准化工作导则第1部分:标准化文件的结构和起草规则》进行编写。</w:t>
      </w:r>
    </w:p>
    <w:p w14:paraId="1A204B63">
      <w:pPr>
        <w:pStyle w:val="3"/>
        <w:numPr>
          <w:ilvl w:val="1"/>
          <w:numId w:val="5"/>
        </w:numPr>
        <w:ind w:left="0" w:leftChars="0" w:firstLine="0" w:firstLineChars="0"/>
        <w:rPr>
          <w:rFonts w:hint="eastAsia" w:ascii="仿宋" w:hAnsi="仿宋" w:eastAsia="仿宋" w:cs="仿宋"/>
          <w:b w:val="0"/>
          <w:spacing w:val="-4"/>
          <w:kern w:val="2"/>
          <w:sz w:val="28"/>
          <w:szCs w:val="28"/>
          <w:lang w:val="en-US" w:eastAsia="zh-CN" w:bidi="ar-SA"/>
        </w:rPr>
      </w:pPr>
      <w:r>
        <w:rPr>
          <w:rFonts w:hint="eastAsia" w:ascii="仿宋" w:hAnsi="仿宋" w:eastAsia="仿宋" w:cs="仿宋"/>
          <w:b/>
          <w:bCs/>
          <w:spacing w:val="-4"/>
          <w:kern w:val="2"/>
          <w:sz w:val="28"/>
          <w:szCs w:val="28"/>
          <w:lang w:val="en-US" w:eastAsia="zh-CN" w:bidi="ar-SA"/>
        </w:rPr>
        <w:t>适用性原则。</w:t>
      </w:r>
      <w:r>
        <w:rPr>
          <w:rFonts w:hint="eastAsia" w:ascii="仿宋" w:hAnsi="仿宋" w:eastAsia="仿宋" w:cs="仿宋"/>
          <w:b w:val="0"/>
          <w:spacing w:val="-4"/>
          <w:kern w:val="2"/>
          <w:sz w:val="28"/>
          <w:szCs w:val="28"/>
          <w:lang w:val="en-US" w:eastAsia="zh-CN" w:bidi="ar-SA"/>
        </w:rPr>
        <w:t>本标准充分考虑工业企业能碳管控中心建设</w:t>
      </w:r>
      <w:r>
        <w:rPr>
          <w:rFonts w:hint="eastAsia" w:ascii="仿宋" w:hAnsi="仿宋" w:eastAsia="仿宋" w:cs="仿宋"/>
          <w:b w:val="0"/>
          <w:spacing w:val="-4"/>
          <w:kern w:val="2"/>
          <w:sz w:val="28"/>
          <w:szCs w:val="28"/>
          <w:lang w:val="en-US" w:eastAsia="zh-CN" w:bidi="ar-SA"/>
        </w:rPr>
        <w:t>的实际情况和发展水平，参考国内、国际相关标准，保证了高质量的建设要求，兼顾科学性、先进性和可操作性的同时，还有助于促进我国工业企业能碳管控中心建设行业的发展。</w:t>
      </w:r>
    </w:p>
    <w:p w14:paraId="60A9A502">
      <w:pPr>
        <w:pStyle w:val="3"/>
        <w:numPr>
          <w:ilvl w:val="1"/>
          <w:numId w:val="5"/>
        </w:numPr>
        <w:ind w:left="0" w:leftChars="0" w:firstLine="0" w:firstLineChars="0"/>
        <w:rPr>
          <w:rFonts w:hint="eastAsia" w:ascii="仿宋" w:hAnsi="仿宋" w:eastAsia="仿宋" w:cs="仿宋"/>
          <w:b/>
          <w:bCs/>
          <w:spacing w:val="-4"/>
          <w:kern w:val="2"/>
          <w:sz w:val="28"/>
          <w:szCs w:val="28"/>
          <w:lang w:val="en-US" w:eastAsia="zh-CN" w:bidi="ar-SA"/>
        </w:rPr>
      </w:pPr>
      <w:r>
        <w:rPr>
          <w:rFonts w:hint="eastAsia" w:ascii="仿宋" w:hAnsi="仿宋" w:eastAsia="仿宋" w:cs="仿宋"/>
          <w:b/>
          <w:bCs/>
          <w:spacing w:val="-4"/>
          <w:kern w:val="2"/>
          <w:sz w:val="28"/>
          <w:szCs w:val="28"/>
          <w:lang w:val="en-US" w:eastAsia="zh-CN" w:bidi="ar-SA"/>
        </w:rPr>
        <w:t>协调性原则。</w:t>
      </w:r>
      <w:r>
        <w:rPr>
          <w:rFonts w:hint="eastAsia" w:ascii="仿宋" w:hAnsi="仿宋" w:eastAsia="仿宋" w:cs="仿宋"/>
          <w:b w:val="0"/>
          <w:bCs w:val="0"/>
          <w:spacing w:val="-4"/>
          <w:kern w:val="2"/>
          <w:sz w:val="28"/>
          <w:szCs w:val="28"/>
          <w:lang w:val="en-US" w:eastAsia="zh-CN" w:bidi="ar-SA"/>
        </w:rPr>
        <w:t>标准的编写注意贯彻协调一致与相容性原则，与己发布的相关国家标准、行业标准和规范相协调。另外还与行业发展技术水平相协调，以促进行业技术升级。</w:t>
      </w:r>
    </w:p>
    <w:p w14:paraId="7E106E75">
      <w:pPr>
        <w:pStyle w:val="3"/>
        <w:numPr>
          <w:ilvl w:val="0"/>
          <w:numId w:val="4"/>
        </w:numPr>
        <w:rPr>
          <w:rFonts w:hint="eastAsia" w:ascii="仿宋" w:hAnsi="仿宋" w:eastAsia="仿宋" w:cs="仿宋"/>
          <w:b/>
          <w:bCs/>
          <w:spacing w:val="-4"/>
          <w:kern w:val="2"/>
          <w:sz w:val="28"/>
          <w:szCs w:val="28"/>
          <w:lang w:val="en-US" w:eastAsia="zh-CN" w:bidi="ar-SA"/>
        </w:rPr>
      </w:pPr>
      <w:r>
        <w:rPr>
          <w:rFonts w:hint="eastAsia" w:ascii="仿宋" w:hAnsi="仿宋" w:eastAsia="仿宋" w:cs="仿宋"/>
          <w:lang w:val="en-US" w:eastAsia="zh-CN"/>
        </w:rPr>
        <w:t>主要内容</w:t>
      </w:r>
    </w:p>
    <w:p w14:paraId="6770A8AA">
      <w:pPr>
        <w:pStyle w:val="3"/>
        <w:numPr>
          <w:ilvl w:val="1"/>
          <w:numId w:val="4"/>
        </w:numPr>
        <w:ind w:left="10" w:leftChars="0" w:hanging="10" w:firstLineChars="0"/>
        <w:rPr>
          <w:rFonts w:hint="eastAsia" w:ascii="仿宋" w:hAnsi="仿宋" w:eastAsia="仿宋" w:cs="仿宋"/>
          <w:b/>
          <w:bCs/>
          <w:spacing w:val="-4"/>
          <w:kern w:val="2"/>
          <w:sz w:val="28"/>
          <w:szCs w:val="28"/>
          <w:lang w:val="en-US" w:eastAsia="zh-CN" w:bidi="ar-SA"/>
        </w:rPr>
      </w:pPr>
      <w:r>
        <w:rPr>
          <w:rFonts w:hint="eastAsia" w:ascii="仿宋" w:hAnsi="仿宋" w:eastAsia="仿宋" w:cs="仿宋"/>
          <w:b/>
          <w:bCs/>
          <w:spacing w:val="-4"/>
          <w:kern w:val="2"/>
          <w:sz w:val="28"/>
          <w:szCs w:val="28"/>
          <w:lang w:val="en-US" w:eastAsia="zh-CN" w:bidi="ar-SA"/>
        </w:rPr>
        <w:t>基础部分（第一至第四章）</w:t>
      </w:r>
    </w:p>
    <w:p w14:paraId="68037299">
      <w:pPr>
        <w:spacing w:before="147" w:line="360" w:lineRule="auto"/>
        <w:ind w:left="20" w:right="10" w:firstLine="674"/>
        <w:rPr>
          <w:rFonts w:hint="eastAsia" w:ascii="仿宋" w:hAnsi="仿宋" w:eastAsia="仿宋" w:cs="仿宋"/>
          <w:spacing w:val="-4"/>
          <w:sz w:val="28"/>
          <w:szCs w:val="28"/>
        </w:rPr>
      </w:pPr>
      <w:r>
        <w:rPr>
          <w:rFonts w:hint="eastAsia" w:ascii="仿宋" w:hAnsi="仿宋" w:eastAsia="仿宋" w:cs="仿宋"/>
          <w:spacing w:val="-4"/>
          <w:sz w:val="28"/>
          <w:szCs w:val="28"/>
        </w:rPr>
        <w:t>对标准的使用范围、所涉及规范性引用文件</w:t>
      </w:r>
      <w:r>
        <w:rPr>
          <w:rFonts w:hint="eastAsia" w:ascii="仿宋" w:hAnsi="仿宋" w:eastAsia="仿宋" w:cs="仿宋"/>
          <w:spacing w:val="-4"/>
          <w:sz w:val="28"/>
          <w:szCs w:val="28"/>
          <w:lang w:eastAsia="zh-CN"/>
        </w:rPr>
        <w:t>、</w:t>
      </w:r>
      <w:r>
        <w:rPr>
          <w:rFonts w:hint="eastAsia" w:ascii="仿宋" w:hAnsi="仿宋" w:eastAsia="仿宋" w:cs="仿宋"/>
          <w:spacing w:val="-4"/>
          <w:sz w:val="28"/>
          <w:szCs w:val="28"/>
        </w:rPr>
        <w:t>术语定义</w:t>
      </w:r>
      <w:r>
        <w:rPr>
          <w:rFonts w:hint="eastAsia" w:ascii="仿宋" w:hAnsi="仿宋" w:eastAsia="仿宋" w:cs="仿宋"/>
          <w:spacing w:val="-4"/>
          <w:sz w:val="28"/>
          <w:szCs w:val="28"/>
          <w:lang w:eastAsia="zh-CN"/>
        </w:rPr>
        <w:t>、</w:t>
      </w:r>
      <w:r>
        <w:rPr>
          <w:rFonts w:hint="eastAsia" w:ascii="仿宋" w:hAnsi="仿宋" w:eastAsia="仿宋" w:cs="仿宋"/>
          <w:spacing w:val="-4"/>
          <w:sz w:val="28"/>
          <w:szCs w:val="28"/>
          <w:lang w:val="en-US" w:eastAsia="zh-CN"/>
        </w:rPr>
        <w:t>缩略语</w:t>
      </w:r>
      <w:r>
        <w:rPr>
          <w:rFonts w:hint="eastAsia" w:ascii="仿宋" w:hAnsi="仿宋" w:eastAsia="仿宋" w:cs="仿宋"/>
          <w:spacing w:val="-4"/>
          <w:sz w:val="28"/>
          <w:szCs w:val="28"/>
        </w:rPr>
        <w:t>进行规定。</w:t>
      </w:r>
    </w:p>
    <w:p w14:paraId="4A39A7D6">
      <w:pPr>
        <w:spacing w:before="147" w:line="360" w:lineRule="auto"/>
        <w:ind w:left="20" w:right="10" w:firstLine="674"/>
        <w:rPr>
          <w:rFonts w:hint="eastAsia" w:ascii="仿宋" w:hAnsi="仿宋" w:eastAsia="仿宋" w:cs="仿宋"/>
          <w:spacing w:val="-4"/>
          <w:sz w:val="28"/>
          <w:szCs w:val="28"/>
        </w:rPr>
      </w:pPr>
      <w:r>
        <w:rPr>
          <w:rFonts w:hint="eastAsia" w:ascii="仿宋" w:hAnsi="仿宋" w:eastAsia="仿宋" w:cs="仿宋"/>
          <w:spacing w:val="-4"/>
          <w:sz w:val="28"/>
          <w:szCs w:val="28"/>
          <w:lang w:val="en-US" w:eastAsia="zh-CN"/>
        </w:rPr>
        <w:t>本文件规定了工业企业能碳管控中心建设的范围、缩略语、基本原则、一般要求、系统架构、硬件要求和运维管理等方面的内容。本标准适用于工业企业能碳管控中心的建设及改造。标准</w:t>
      </w:r>
      <w:r>
        <w:rPr>
          <w:rFonts w:hint="eastAsia" w:ascii="仿宋" w:hAnsi="仿宋" w:eastAsia="仿宋" w:cs="仿宋"/>
          <w:spacing w:val="-4"/>
          <w:sz w:val="28"/>
          <w:szCs w:val="28"/>
        </w:rPr>
        <w:t>适用于指导新建、改建、扩建的光储耦合零碳/低碳市政智慧道路照明建设工作。</w:t>
      </w:r>
    </w:p>
    <w:p w14:paraId="4E349FB3">
      <w:pPr>
        <w:spacing w:before="147" w:line="360" w:lineRule="auto"/>
        <w:ind w:left="20" w:right="10" w:firstLine="674"/>
        <w:rPr>
          <w:rFonts w:hint="default" w:ascii="仿宋" w:hAnsi="仿宋" w:eastAsia="仿宋" w:cs="仿宋"/>
          <w:spacing w:val="-4"/>
          <w:sz w:val="28"/>
          <w:szCs w:val="28"/>
          <w:lang w:val="en-US" w:eastAsia="zh-CN"/>
        </w:rPr>
      </w:pPr>
      <w:r>
        <w:rPr>
          <w:rFonts w:hint="eastAsia" w:ascii="仿宋" w:hAnsi="仿宋" w:eastAsia="仿宋" w:cs="仿宋"/>
          <w:spacing w:val="-4"/>
          <w:sz w:val="28"/>
          <w:szCs w:val="28"/>
          <w:lang w:val="en-US" w:eastAsia="zh-CN"/>
        </w:rPr>
        <w:t>参考</w:t>
      </w:r>
      <w:r>
        <w:rPr>
          <w:rFonts w:hint="default" w:ascii="仿宋" w:hAnsi="仿宋" w:eastAsia="仿宋" w:cs="仿宋"/>
          <w:spacing w:val="-4"/>
          <w:sz w:val="28"/>
          <w:szCs w:val="28"/>
          <w:lang w:val="en-US" w:eastAsia="zh-CN"/>
        </w:rPr>
        <w:t xml:space="preserve">GB/T 2589 </w:t>
      </w:r>
      <w:r>
        <w:rPr>
          <w:rFonts w:hint="eastAsia" w:ascii="仿宋" w:hAnsi="仿宋" w:eastAsia="仿宋" w:cs="仿宋"/>
          <w:spacing w:val="-4"/>
          <w:sz w:val="28"/>
          <w:szCs w:val="28"/>
          <w:lang w:val="en-US" w:eastAsia="zh-CN"/>
        </w:rPr>
        <w:t>《</w:t>
      </w:r>
      <w:r>
        <w:rPr>
          <w:rFonts w:hint="default" w:ascii="仿宋" w:hAnsi="仿宋" w:eastAsia="仿宋" w:cs="仿宋"/>
          <w:spacing w:val="-4"/>
          <w:sz w:val="28"/>
          <w:szCs w:val="28"/>
          <w:lang w:val="en-US" w:eastAsia="zh-CN"/>
        </w:rPr>
        <w:t>综合能耗计算通则</w:t>
      </w:r>
      <w:r>
        <w:rPr>
          <w:rFonts w:hint="eastAsia" w:ascii="仿宋" w:hAnsi="仿宋" w:eastAsia="仿宋" w:cs="仿宋"/>
          <w:spacing w:val="-4"/>
          <w:sz w:val="28"/>
          <w:szCs w:val="28"/>
          <w:lang w:val="en-US" w:eastAsia="zh-CN"/>
        </w:rPr>
        <w:t>》、</w:t>
      </w:r>
      <w:r>
        <w:rPr>
          <w:rFonts w:hint="default" w:ascii="仿宋" w:hAnsi="仿宋" w:eastAsia="仿宋" w:cs="仿宋"/>
          <w:spacing w:val="-4"/>
          <w:sz w:val="28"/>
          <w:szCs w:val="28"/>
          <w:lang w:val="en-US" w:eastAsia="zh-CN"/>
        </w:rPr>
        <w:t xml:space="preserve">GB/T 15587 </w:t>
      </w:r>
      <w:r>
        <w:rPr>
          <w:rFonts w:hint="eastAsia" w:ascii="仿宋" w:hAnsi="仿宋" w:eastAsia="仿宋" w:cs="仿宋"/>
          <w:spacing w:val="-4"/>
          <w:sz w:val="28"/>
          <w:szCs w:val="28"/>
          <w:lang w:val="en-US" w:eastAsia="zh-CN"/>
        </w:rPr>
        <w:t>《</w:t>
      </w:r>
      <w:r>
        <w:rPr>
          <w:rFonts w:hint="default" w:ascii="仿宋" w:hAnsi="仿宋" w:eastAsia="仿宋" w:cs="仿宋"/>
          <w:spacing w:val="-4"/>
          <w:sz w:val="28"/>
          <w:szCs w:val="28"/>
          <w:lang w:val="en-US" w:eastAsia="zh-CN"/>
        </w:rPr>
        <w:t>工业企业能源管理导则</w:t>
      </w:r>
      <w:r>
        <w:rPr>
          <w:rFonts w:hint="eastAsia" w:ascii="仿宋" w:hAnsi="仿宋" w:eastAsia="仿宋" w:cs="仿宋"/>
          <w:spacing w:val="-4"/>
          <w:sz w:val="28"/>
          <w:szCs w:val="28"/>
          <w:lang w:val="en-US" w:eastAsia="zh-CN"/>
        </w:rPr>
        <w:t>》、</w:t>
      </w:r>
      <w:r>
        <w:rPr>
          <w:rFonts w:hint="default" w:ascii="仿宋" w:hAnsi="仿宋" w:eastAsia="仿宋" w:cs="仿宋"/>
          <w:spacing w:val="-4"/>
          <w:sz w:val="28"/>
          <w:szCs w:val="28"/>
          <w:lang w:val="en-US" w:eastAsia="zh-CN"/>
        </w:rPr>
        <w:t xml:space="preserve">GB 17167 </w:t>
      </w:r>
      <w:r>
        <w:rPr>
          <w:rFonts w:hint="eastAsia" w:ascii="仿宋" w:hAnsi="仿宋" w:eastAsia="仿宋" w:cs="仿宋"/>
          <w:spacing w:val="-4"/>
          <w:sz w:val="28"/>
          <w:szCs w:val="28"/>
          <w:lang w:val="en-US" w:eastAsia="zh-CN"/>
        </w:rPr>
        <w:t>《</w:t>
      </w:r>
      <w:r>
        <w:rPr>
          <w:rFonts w:hint="default" w:ascii="仿宋" w:hAnsi="仿宋" w:eastAsia="仿宋" w:cs="仿宋"/>
          <w:spacing w:val="-4"/>
          <w:sz w:val="28"/>
          <w:szCs w:val="28"/>
          <w:lang w:val="en-US" w:eastAsia="zh-CN"/>
        </w:rPr>
        <w:t>用能单位能源计量器具配备和管理通则</w:t>
      </w:r>
      <w:r>
        <w:rPr>
          <w:rFonts w:hint="eastAsia" w:ascii="仿宋" w:hAnsi="仿宋" w:eastAsia="仿宋" w:cs="仿宋"/>
          <w:spacing w:val="-4"/>
          <w:sz w:val="28"/>
          <w:szCs w:val="28"/>
          <w:lang w:val="en-US" w:eastAsia="zh-CN"/>
        </w:rPr>
        <w:t>》、</w:t>
      </w:r>
      <w:r>
        <w:rPr>
          <w:rFonts w:hint="default" w:ascii="仿宋" w:hAnsi="仿宋" w:eastAsia="仿宋" w:cs="仿宋"/>
          <w:spacing w:val="-4"/>
          <w:sz w:val="28"/>
          <w:szCs w:val="28"/>
          <w:lang w:val="en-US" w:eastAsia="zh-CN"/>
        </w:rPr>
        <w:t xml:space="preserve">GB/T 19022 </w:t>
      </w:r>
      <w:r>
        <w:rPr>
          <w:rFonts w:hint="eastAsia" w:ascii="仿宋" w:hAnsi="仿宋" w:eastAsia="仿宋" w:cs="仿宋"/>
          <w:spacing w:val="-4"/>
          <w:sz w:val="28"/>
          <w:szCs w:val="28"/>
          <w:lang w:val="en-US" w:eastAsia="zh-CN"/>
        </w:rPr>
        <w:t>《</w:t>
      </w:r>
      <w:r>
        <w:rPr>
          <w:rFonts w:hint="default" w:ascii="仿宋" w:hAnsi="仿宋" w:eastAsia="仿宋" w:cs="仿宋"/>
          <w:spacing w:val="-4"/>
          <w:sz w:val="28"/>
          <w:szCs w:val="28"/>
          <w:lang w:val="en-US" w:eastAsia="zh-CN"/>
        </w:rPr>
        <w:t>测量管理体系 测量过程和测量设备的要求</w:t>
      </w:r>
      <w:r>
        <w:rPr>
          <w:rFonts w:hint="eastAsia" w:ascii="仿宋" w:hAnsi="仿宋" w:eastAsia="仿宋" w:cs="仿宋"/>
          <w:spacing w:val="-4"/>
          <w:sz w:val="28"/>
          <w:szCs w:val="28"/>
          <w:lang w:val="en-US" w:eastAsia="zh-CN"/>
        </w:rPr>
        <w:t>》等11项国家标准。</w:t>
      </w:r>
    </w:p>
    <w:p w14:paraId="25FA7CC0">
      <w:pPr>
        <w:spacing w:before="147" w:line="360" w:lineRule="auto"/>
        <w:ind w:left="20" w:right="10" w:firstLine="674"/>
        <w:rPr>
          <w:rFonts w:hint="eastAsia" w:ascii="仿宋" w:hAnsi="仿宋" w:eastAsia="仿宋" w:cs="仿宋"/>
          <w:spacing w:val="-4"/>
          <w:sz w:val="28"/>
          <w:szCs w:val="28"/>
          <w:lang w:val="en-US" w:eastAsia="zh-CN"/>
        </w:rPr>
      </w:pPr>
      <w:r>
        <w:rPr>
          <w:rFonts w:hint="eastAsia" w:ascii="仿宋" w:hAnsi="仿宋" w:eastAsia="仿宋" w:cs="仿宋"/>
          <w:spacing w:val="-4"/>
          <w:sz w:val="28"/>
          <w:szCs w:val="28"/>
          <w:lang w:val="en-US" w:eastAsia="zh-CN"/>
        </w:rPr>
        <w:t>对能碳管控中心、碳排放、组织碳排放核算3项术语进行定义</w:t>
      </w:r>
      <w:r>
        <w:rPr>
          <w:rFonts w:hint="eastAsia" w:ascii="仿宋" w:hAnsi="仿宋" w:eastAsia="仿宋" w:cs="仿宋"/>
          <w:spacing w:val="-4"/>
          <w:sz w:val="28"/>
          <w:szCs w:val="28"/>
          <w:lang w:val="en-US" w:eastAsia="zh-CN"/>
        </w:rPr>
        <w:t>。</w:t>
      </w:r>
    </w:p>
    <w:p w14:paraId="0B7359B0">
      <w:pPr>
        <w:spacing w:before="147" w:line="360" w:lineRule="auto"/>
        <w:ind w:left="20" w:right="10" w:firstLine="674"/>
        <w:rPr>
          <w:rFonts w:hint="default" w:ascii="仿宋" w:hAnsi="仿宋" w:eastAsia="仿宋" w:cs="仿宋"/>
          <w:spacing w:val="-4"/>
          <w:sz w:val="28"/>
          <w:szCs w:val="28"/>
          <w:lang w:val="en-US" w:eastAsia="zh-CN"/>
        </w:rPr>
      </w:pPr>
      <w:r>
        <w:rPr>
          <w:rFonts w:hint="eastAsia" w:ascii="仿宋" w:hAnsi="仿宋" w:eastAsia="仿宋" w:cs="仿宋"/>
          <w:spacing w:val="-4"/>
          <w:sz w:val="28"/>
          <w:szCs w:val="28"/>
          <w:lang w:val="en-US" w:eastAsia="zh-CN"/>
        </w:rPr>
        <w:t>对标准中的16项缩略语API进行解释说明。</w:t>
      </w:r>
    </w:p>
    <w:p w14:paraId="0DAF6971">
      <w:pPr>
        <w:pStyle w:val="3"/>
        <w:numPr>
          <w:ilvl w:val="1"/>
          <w:numId w:val="4"/>
        </w:numPr>
        <w:ind w:left="10" w:leftChars="0" w:hanging="10" w:firstLineChars="0"/>
        <w:rPr>
          <w:rFonts w:hint="eastAsia" w:ascii="仿宋" w:hAnsi="仿宋" w:eastAsia="仿宋" w:cs="仿宋"/>
          <w:b/>
          <w:bCs/>
          <w:spacing w:val="-4"/>
          <w:kern w:val="2"/>
          <w:sz w:val="28"/>
          <w:szCs w:val="28"/>
          <w:lang w:val="en-US" w:eastAsia="zh-CN" w:bidi="ar-SA"/>
        </w:rPr>
      </w:pPr>
      <w:r>
        <w:rPr>
          <w:rFonts w:hint="eastAsia" w:ascii="仿宋" w:hAnsi="仿宋" w:eastAsia="仿宋" w:cs="仿宋"/>
          <w:b/>
          <w:bCs/>
          <w:spacing w:val="-4"/>
          <w:kern w:val="2"/>
          <w:sz w:val="28"/>
          <w:szCs w:val="28"/>
          <w:lang w:val="en-US" w:eastAsia="zh-CN" w:bidi="ar-SA"/>
        </w:rPr>
        <w:t>基本原则（第五章）</w:t>
      </w:r>
    </w:p>
    <w:p w14:paraId="1403C6D0">
      <w:pPr>
        <w:pStyle w:val="12"/>
        <w:spacing w:line="480" w:lineRule="auto"/>
        <w:ind w:firstLine="420"/>
        <w:rPr>
          <w:rFonts w:hint="eastAsia" w:ascii="仿宋" w:hAnsi="仿宋" w:eastAsia="仿宋" w:cs="仿宋"/>
          <w:sz w:val="28"/>
          <w:szCs w:val="28"/>
          <w:lang w:val="en-US" w:eastAsia="zh-CN"/>
        </w:rPr>
      </w:pPr>
      <w:r>
        <w:rPr>
          <w:rFonts w:hint="eastAsia" w:ascii="仿宋" w:hAnsi="仿宋" w:eastAsia="仿宋" w:cs="仿宋"/>
          <w:sz w:val="28"/>
          <w:szCs w:val="28"/>
        </w:rPr>
        <w:t>工业企业能碳管控中心建设提出</w:t>
      </w:r>
      <w:r>
        <w:rPr>
          <w:rFonts w:hint="eastAsia" w:ascii="仿宋" w:hAnsi="仿宋" w:eastAsia="仿宋" w:cs="仿宋"/>
          <w:sz w:val="28"/>
          <w:szCs w:val="28"/>
          <w:lang w:val="en-US" w:eastAsia="zh-CN"/>
        </w:rPr>
        <w:t>原则性</w:t>
      </w:r>
      <w:r>
        <w:rPr>
          <w:rFonts w:hint="eastAsia" w:ascii="仿宋" w:hAnsi="仿宋" w:eastAsia="仿宋" w:cs="仿宋"/>
          <w:sz w:val="28"/>
          <w:szCs w:val="28"/>
        </w:rPr>
        <w:t>要求，一是遵循相关标准规范开展能源管控和碳排放管理工作，包括建立能源管控中心、进行碳排放核算报告、实时监测能源利用与碳排放状况；二是能碳管控中心建设要统筹规划，兼顾国家节能降碳目标与企业长期发展需求</w:t>
      </w:r>
      <w:r>
        <w:rPr>
          <w:rFonts w:hint="eastAsia" w:ascii="仿宋" w:hAnsi="仿宋" w:eastAsia="仿宋" w:cs="仿宋"/>
          <w:sz w:val="28"/>
          <w:szCs w:val="28"/>
          <w:lang w:val="en-US" w:eastAsia="zh-CN"/>
        </w:rPr>
        <w:t>。内容如下：</w:t>
      </w:r>
    </w:p>
    <w:p w14:paraId="44E09A1A">
      <w:pPr>
        <w:pStyle w:val="12"/>
        <w:spacing w:line="480" w:lineRule="auto"/>
        <w:ind w:firstLine="42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工业企业应按照GB/T 40063的有关规定，建立工业企业能源管控中心，并按照GB/T 32150的有关规定，开展碳排放核算和报告，工业企业应按照GB/T 40063规定能耗实时监测原则对能源利用状况进行实时监测。同时根据企业生产工艺流程和生产管理的要求进行企业碳排放总量和碳排放强度实时监测、核算、分析与展示。</w:t>
      </w:r>
    </w:p>
    <w:p w14:paraId="7784B6AD">
      <w:pPr>
        <w:pStyle w:val="12"/>
        <w:spacing w:line="480" w:lineRule="auto"/>
        <w:ind w:firstLine="42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工业企业能碳管控中心应结合企业自身能源管理规划、碳排放管理目标和信息化发展的总体要求，科学统筹规划，功能上满足国家对节能降碳总体目标要求和企业未来长期发展需要。</w:t>
      </w:r>
    </w:p>
    <w:p w14:paraId="6F6EEBE3">
      <w:pPr>
        <w:pStyle w:val="3"/>
        <w:numPr>
          <w:ilvl w:val="1"/>
          <w:numId w:val="4"/>
        </w:numPr>
        <w:ind w:left="10" w:leftChars="0" w:hanging="10" w:firstLineChars="0"/>
        <w:rPr>
          <w:rFonts w:hint="eastAsia" w:ascii="仿宋" w:hAnsi="仿宋" w:eastAsia="仿宋" w:cs="仿宋"/>
          <w:b/>
          <w:bCs/>
          <w:spacing w:val="-4"/>
          <w:kern w:val="2"/>
          <w:sz w:val="28"/>
          <w:szCs w:val="28"/>
          <w:lang w:val="en-US" w:eastAsia="zh-CN" w:bidi="ar-SA"/>
        </w:rPr>
      </w:pPr>
      <w:r>
        <w:rPr>
          <w:rFonts w:hint="eastAsia" w:ascii="仿宋" w:hAnsi="仿宋" w:eastAsia="仿宋" w:cs="仿宋"/>
          <w:b/>
          <w:bCs/>
          <w:spacing w:val="-4"/>
          <w:kern w:val="2"/>
          <w:sz w:val="28"/>
          <w:szCs w:val="28"/>
          <w:lang w:val="en-US" w:eastAsia="zh-CN" w:bidi="ar-SA"/>
        </w:rPr>
        <w:t>一般要求（第六章）</w:t>
      </w:r>
    </w:p>
    <w:p w14:paraId="78C5FE4A">
      <w:pPr>
        <w:ind w:firstLine="420"/>
        <w:rPr>
          <w:rFonts w:hint="eastAsia" w:ascii="仿宋" w:hAnsi="仿宋" w:eastAsia="仿宋"/>
          <w:sz w:val="28"/>
          <w:szCs w:val="36"/>
          <w:lang w:val="en-US" w:eastAsia="zh-CN"/>
        </w:rPr>
      </w:pPr>
      <w:r>
        <w:rPr>
          <w:rFonts w:hint="eastAsia" w:ascii="仿宋" w:hAnsi="仿宋" w:eastAsia="仿宋"/>
          <w:sz w:val="28"/>
          <w:szCs w:val="36"/>
        </w:rPr>
        <w:t>围绕从</w:t>
      </w:r>
      <w:r>
        <w:rPr>
          <w:rFonts w:hint="eastAsia" w:ascii="仿宋" w:hAnsi="仿宋" w:eastAsia="仿宋"/>
          <w:sz w:val="28"/>
          <w:szCs w:val="36"/>
          <w:lang w:val="en-US" w:eastAsia="zh-CN"/>
        </w:rPr>
        <w:t>五</w:t>
      </w:r>
      <w:r>
        <w:rPr>
          <w:rFonts w:hint="eastAsia" w:ascii="仿宋" w:hAnsi="仿宋" w:eastAsia="仿宋"/>
          <w:sz w:val="28"/>
          <w:szCs w:val="36"/>
        </w:rPr>
        <w:t>方面</w:t>
      </w:r>
      <w:r>
        <w:rPr>
          <w:rFonts w:hint="eastAsia" w:ascii="仿宋" w:hAnsi="仿宋" w:eastAsia="仿宋"/>
          <w:sz w:val="28"/>
          <w:szCs w:val="36"/>
          <w:lang w:val="en-US" w:eastAsia="zh-CN"/>
        </w:rPr>
        <w:t>对</w:t>
      </w:r>
      <w:r>
        <w:rPr>
          <w:rFonts w:hint="eastAsia" w:ascii="仿宋" w:hAnsi="仿宋" w:eastAsia="仿宋"/>
          <w:sz w:val="28"/>
          <w:szCs w:val="36"/>
        </w:rPr>
        <w:t>工业企业能碳管控中心建设</w:t>
      </w:r>
      <w:r>
        <w:rPr>
          <w:rFonts w:hint="eastAsia" w:ascii="仿宋" w:hAnsi="仿宋" w:eastAsia="仿宋"/>
          <w:sz w:val="28"/>
          <w:szCs w:val="36"/>
          <w:lang w:val="en-US" w:eastAsia="zh-CN"/>
        </w:rPr>
        <w:t>应满足的一般要求进行规定</w:t>
      </w:r>
      <w:r>
        <w:rPr>
          <w:rFonts w:hint="eastAsia" w:ascii="仿宋" w:hAnsi="仿宋" w:eastAsia="仿宋"/>
          <w:sz w:val="28"/>
          <w:szCs w:val="36"/>
        </w:rPr>
        <w:t>：一是实时监测能耗与碳排放，通过安装计量器具构建监控网络采集数据；二是采取能效与碳排放优化措施，评估能源利用效率，挖掘节能潜力，优化能源结构；三是明确组织边界，确定核算边界和时间范围；四是进行能碳综合管理；五是推动信息融合，预留数据上报接口，实现企业内部数据共享。</w:t>
      </w:r>
      <w:r>
        <w:rPr>
          <w:rFonts w:hint="eastAsia" w:ascii="仿宋" w:hAnsi="仿宋" w:eastAsia="仿宋"/>
          <w:sz w:val="28"/>
          <w:szCs w:val="36"/>
          <w:lang w:val="en-US" w:eastAsia="zh-CN"/>
        </w:rPr>
        <w:t>内容如下：</w:t>
      </w:r>
    </w:p>
    <w:p w14:paraId="5A2B6C77">
      <w:pPr>
        <w:pStyle w:val="12"/>
        <w:spacing w:line="480" w:lineRule="auto"/>
        <w:ind w:firstLine="42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能耗与碳排放实时监测</w:t>
      </w:r>
    </w:p>
    <w:p w14:paraId="4EED085E">
      <w:pPr>
        <w:pStyle w:val="12"/>
        <w:spacing w:line="480" w:lineRule="auto"/>
        <w:ind w:firstLine="42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工业企业应依据生产工艺流程以及自身生产管理组织模式，在关键节点为工业企业整体及主要用能设备合理安装能源与碳计量器具，构建依托企业内部工业控制网络的能源及碳排放计量监控网络。通过对各类能源计量器具与碳计量器具进行实时、在线的数据采集，获取分类、分项的实时能耗数据以及碳排放数据，同步采集生产系统、管理系统内的关联数据以及产品产量数据，实现对工业企业能源利用状况与碳排放水平的实时监测。</w:t>
      </w:r>
    </w:p>
    <w:p w14:paraId="7666D0A4">
      <w:pPr>
        <w:pStyle w:val="12"/>
        <w:spacing w:line="480" w:lineRule="auto"/>
        <w:ind w:firstLine="42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能效与碳排放优化措施</w:t>
      </w:r>
    </w:p>
    <w:p w14:paraId="615F2341">
      <w:pPr>
        <w:pStyle w:val="12"/>
        <w:spacing w:line="480" w:lineRule="auto"/>
        <w:ind w:firstLine="42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工业企业按照内部工艺流程建立的工序能耗与碳排放定额，对企业、主要用能设备和主要工序进行能源利用效率评估，通过能效对标对生产的全流程的各工序进行节能挖潜，制定提高能源利用效率、降低能源消耗量、降低碳排放量的工艺操作模式和管理方法，对具备控制条件的用能系统进行节能优化控制。结合地域可再生能源资源，如太阳能、风能、生物质能，利用光伏发电、风力发电、生物质能供热发电等方式，优化企业能源结构，提高能效与减少碳排放。</w:t>
      </w:r>
    </w:p>
    <w:p w14:paraId="19D8623C">
      <w:pPr>
        <w:pStyle w:val="12"/>
        <w:spacing w:line="480" w:lineRule="auto"/>
        <w:ind w:firstLine="42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组织边界明确</w:t>
      </w:r>
    </w:p>
    <w:p w14:paraId="1D3D67AC">
      <w:pPr>
        <w:pStyle w:val="12"/>
        <w:spacing w:line="480" w:lineRule="auto"/>
        <w:ind w:firstLine="42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工业企业能碳管控中心建设应确定本企业能源和碳排放核算边界与涉及的时间范围，应以企业法人或视同法人的独立核算单位为边界，核算和报告其生产系统产生的能耗和碳排放，核算边界的确定宜参考设施和业务范围及生产工艺流程图。</w:t>
      </w:r>
    </w:p>
    <w:p w14:paraId="57BEFD16">
      <w:pPr>
        <w:pStyle w:val="12"/>
        <w:spacing w:line="480" w:lineRule="auto"/>
        <w:ind w:firstLine="42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能碳综合管理</w:t>
      </w:r>
    </w:p>
    <w:p w14:paraId="55001965">
      <w:pPr>
        <w:pStyle w:val="12"/>
        <w:spacing w:line="480" w:lineRule="auto"/>
        <w:ind w:firstLine="42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工业企业建立集能源和碳排放在线监测、分析、管理、控制、考核和可视化展示于一体的能碳管控中心，满足企业能源的精细化管理的需求。</w:t>
      </w:r>
    </w:p>
    <w:p w14:paraId="7D03838E">
      <w:pPr>
        <w:pStyle w:val="12"/>
        <w:spacing w:line="480" w:lineRule="auto"/>
        <w:ind w:firstLine="42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信息融合</w:t>
      </w:r>
    </w:p>
    <w:p w14:paraId="1486C5B3">
      <w:pPr>
        <w:pStyle w:val="12"/>
        <w:spacing w:line="480" w:lineRule="auto"/>
        <w:ind w:firstLine="42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工业企业能碳管控中心宜预留数据上报接口，满足相关各级政府主管部门数据上报要求。</w:t>
      </w:r>
    </w:p>
    <w:p w14:paraId="115B1A81">
      <w:pPr>
        <w:pStyle w:val="12"/>
        <w:spacing w:line="480" w:lineRule="auto"/>
        <w:ind w:firstLine="42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工业企业宜发挥已有数据资源作用，建立数据交换融合接口，实现企业数据资源共享与信息融合。</w:t>
      </w:r>
    </w:p>
    <w:p w14:paraId="154B57AE">
      <w:pPr>
        <w:pStyle w:val="3"/>
        <w:numPr>
          <w:ilvl w:val="1"/>
          <w:numId w:val="4"/>
        </w:numPr>
        <w:ind w:left="10" w:leftChars="0" w:hanging="10" w:firstLineChars="0"/>
        <w:rPr>
          <w:rFonts w:hint="eastAsia" w:ascii="仿宋" w:hAnsi="仿宋" w:eastAsia="仿宋" w:cs="仿宋"/>
          <w:b/>
          <w:bCs/>
          <w:spacing w:val="-4"/>
          <w:kern w:val="2"/>
          <w:sz w:val="28"/>
          <w:szCs w:val="28"/>
          <w:lang w:val="en-US" w:eastAsia="zh-CN" w:bidi="ar-SA"/>
        </w:rPr>
      </w:pPr>
      <w:r>
        <w:rPr>
          <w:rFonts w:hint="eastAsia" w:ascii="仿宋" w:hAnsi="仿宋" w:eastAsia="仿宋" w:cs="仿宋"/>
          <w:b/>
          <w:bCs/>
          <w:spacing w:val="-4"/>
          <w:kern w:val="2"/>
          <w:sz w:val="28"/>
          <w:szCs w:val="28"/>
          <w:lang w:val="en-US" w:eastAsia="zh-CN" w:bidi="ar-SA"/>
        </w:rPr>
        <w:t>系统架构（第七章）</w:t>
      </w:r>
    </w:p>
    <w:p w14:paraId="791BA0C6">
      <w:pPr>
        <w:pStyle w:val="12"/>
        <w:spacing w:line="480" w:lineRule="auto"/>
        <w:ind w:firstLine="420"/>
        <w:rPr>
          <w:rFonts w:hint="eastAsia" w:ascii="仿宋" w:hAnsi="仿宋" w:eastAsia="仿宋" w:cs="仿宋"/>
          <w:sz w:val="24"/>
          <w:szCs w:val="24"/>
          <w:lang w:val="en-US" w:eastAsia="zh-CN"/>
        </w:rPr>
      </w:pPr>
      <w:r>
        <w:rPr>
          <w:rFonts w:hint="eastAsia" w:ascii="仿宋" w:hAnsi="仿宋" w:eastAsia="仿宋" w:cstheme="minorBidi"/>
          <w:kern w:val="2"/>
          <w:sz w:val="28"/>
          <w:szCs w:val="36"/>
          <w:lang w:val="en-US" w:eastAsia="zh-CN" w:bidi="ar-SA"/>
        </w:rPr>
        <w:t>本标准聚焦工业企业能碳管控中心的系统架构，从数据采集传输层到业务功能层，各层级紧密协作，共同构建起一个全面、高效、智能的能碳管控体系，助力工业企业实现能源与碳排放的精细化管理，为节能降碳目标的达成提供有力支持。能碳管控中心宜按数据采集传输层、数据安全层、数据管理层、平台算法层、业务功能层五层结构开发建设，各层相互协作。数据采集传输层主要规定了采集对象在企业核算边界内采集的数据鸡采集宜遵循分类、分项统计要求关键信息，</w:t>
      </w:r>
      <w:r>
        <w:rPr>
          <w:rFonts w:hint="eastAsia" w:ascii="仿宋" w:hAnsi="仿宋" w:eastAsia="仿宋" w:cstheme="minorBidi"/>
          <w:kern w:val="2"/>
          <w:sz w:val="28"/>
          <w:szCs w:val="36"/>
          <w:lang w:val="en-US" w:eastAsia="zh-CN" w:bidi="ar-SA"/>
        </w:rPr>
        <w:t>采集方式结合企业信息化情况，优先利用已有系统对接，补充自动化设备采集。需支持标准协议，具备多通信方式，保障数据传输安全可靠，适应复杂工业环境。数据安全层规定了满足GB/T 40063规定的软、硬、网络传输安全要求，确保数据安全。数据管理层规定了负责数据存储、管理与维护，支持多种存储方式，具备数据治理能力，提供实时访问接口，存储碳排放因子等数据，保存历史数据不少于5年，实现权限管理保障数据安全。平台算法层规定了具备多种算法模型，用于碳排放核算、绩效分析、资产管理、碳达峰碳中和预测评估等，采用排放因子法核算的企业需遵循相关标准。业务功能层对定了实现人机交互管控能源与碳排放，涵盖能碳看板、实时监控等17项功能，从多方面满足企业能碳管理需求，支持多终端访问。</w:t>
      </w:r>
      <w:r>
        <w:rPr>
          <w:rFonts w:hint="eastAsia" w:ascii="仿宋" w:hAnsi="仿宋" w:eastAsia="仿宋"/>
          <w:sz w:val="28"/>
          <w:szCs w:val="36"/>
          <w:lang w:val="en-US" w:eastAsia="zh-CN"/>
        </w:rPr>
        <w:t>内容如下：</w:t>
      </w:r>
    </w:p>
    <w:p w14:paraId="7FF3C9C8">
      <w:pPr>
        <w:pStyle w:val="12"/>
        <w:spacing w:line="480" w:lineRule="auto"/>
        <w:ind w:firstLine="42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系统架构层级</w:t>
      </w:r>
    </w:p>
    <w:p w14:paraId="4691014E">
      <w:pPr>
        <w:pStyle w:val="12"/>
        <w:spacing w:line="480" w:lineRule="auto"/>
        <w:ind w:firstLine="42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工业企业能碳管控中心宜按照数据采集传输层，数据安全层、数据管理层，平台算法层、业务功能层五个层次结构开发建设，系统架构的层级搭建可参考图1。</w:t>
      </w:r>
    </w:p>
    <w:p w14:paraId="43EBECB8">
      <w:pPr>
        <w:pStyle w:val="12"/>
        <w:spacing w:line="480" w:lineRule="auto"/>
        <w:ind w:firstLine="420"/>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drawing>
          <wp:inline distT="0" distB="0" distL="114300" distR="114300">
            <wp:extent cx="4898390" cy="2713990"/>
            <wp:effectExtent l="0" t="0" r="8890" b="13970"/>
            <wp:docPr id="3"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6"/>
                    <pic:cNvPicPr>
                      <a:picLocks noChangeAspect="1"/>
                    </pic:cNvPicPr>
                  </pic:nvPicPr>
                  <pic:blipFill>
                    <a:blip r:embed="rId4"/>
                    <a:stretch>
                      <a:fillRect/>
                    </a:stretch>
                  </pic:blipFill>
                  <pic:spPr>
                    <a:xfrm>
                      <a:off x="0" y="0"/>
                      <a:ext cx="4898390" cy="2713990"/>
                    </a:xfrm>
                    <a:prstGeom prst="rect">
                      <a:avLst/>
                    </a:prstGeom>
                    <a:noFill/>
                    <a:ln>
                      <a:noFill/>
                    </a:ln>
                  </pic:spPr>
                </pic:pic>
              </a:graphicData>
            </a:graphic>
          </wp:inline>
        </w:drawing>
      </w:r>
      <w:r>
        <w:rPr>
          <w:rFonts w:hint="eastAsia" w:ascii="仿宋" w:hAnsi="仿宋" w:eastAsia="仿宋" w:cs="仿宋"/>
          <w:sz w:val="24"/>
          <w:szCs w:val="24"/>
          <w:lang w:val="en-US" w:eastAsia="zh-CN"/>
        </w:rPr>
        <w:t>图1 系统架构图</w:t>
      </w:r>
    </w:p>
    <w:p w14:paraId="4CE53173">
      <w:pPr>
        <w:pStyle w:val="12"/>
        <w:spacing w:line="480" w:lineRule="auto"/>
        <w:ind w:firstLine="42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采集传输层</w:t>
      </w:r>
    </w:p>
    <w:p w14:paraId="0FA6E41E">
      <w:pPr>
        <w:pStyle w:val="12"/>
        <w:spacing w:line="480" w:lineRule="auto"/>
        <w:ind w:firstLine="42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采集对象</w:t>
      </w:r>
    </w:p>
    <w:p w14:paraId="108A167D">
      <w:pPr>
        <w:pStyle w:val="12"/>
        <w:spacing w:line="480" w:lineRule="auto"/>
        <w:ind w:firstLine="42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在企业核算边界内采集以下关键信息：</w:t>
      </w:r>
    </w:p>
    <w:p w14:paraId="1C8D66BF">
      <w:pPr>
        <w:pStyle w:val="12"/>
        <w:spacing w:line="480" w:lineRule="auto"/>
        <w:ind w:firstLine="42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能源及载能工质消耗数据，包含外购煤、气、油、电等传统能源，企业自产自用的光伏、风电、生物质能等可再生能源及余热回收利用能源等，</w:t>
      </w:r>
    </w:p>
    <w:p w14:paraId="77AB5CBD">
      <w:pPr>
        <w:pStyle w:val="12"/>
        <w:spacing w:line="480" w:lineRule="auto"/>
        <w:ind w:firstLine="42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生产及辅助生产过程中控制系统参数，如设备温度、压力、流量等，反映各环节运行状态，</w:t>
      </w:r>
    </w:p>
    <w:p w14:paraId="0411B713">
      <w:pPr>
        <w:pStyle w:val="12"/>
        <w:spacing w:line="480" w:lineRule="auto"/>
        <w:ind w:firstLine="42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含碳原料物料消耗数据，包含石灰石、白云石、外购生铁、铁合金、炭阳极等原料使用量，</w:t>
      </w:r>
    </w:p>
    <w:p w14:paraId="36A9037C">
      <w:pPr>
        <w:pStyle w:val="12"/>
        <w:spacing w:line="480" w:lineRule="auto"/>
        <w:ind w:firstLine="42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废弃物回收再利用数据，</w:t>
      </w:r>
    </w:p>
    <w:p w14:paraId="0CF76CA3">
      <w:pPr>
        <w:pStyle w:val="12"/>
        <w:spacing w:line="480" w:lineRule="auto"/>
        <w:ind w:firstLine="42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主要产品产量、产值等经济指标，</w:t>
      </w:r>
    </w:p>
    <w:p w14:paraId="0B0F72B9">
      <w:pPr>
        <w:pStyle w:val="12"/>
        <w:spacing w:line="480" w:lineRule="auto"/>
        <w:ind w:firstLine="42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温室气体排放监测数据。</w:t>
      </w:r>
    </w:p>
    <w:p w14:paraId="6AB0DDF3">
      <w:pPr>
        <w:pStyle w:val="12"/>
        <w:spacing w:line="480" w:lineRule="auto"/>
        <w:ind w:firstLine="42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数据采集宜遵循分类、分项统计要求：</w:t>
      </w:r>
    </w:p>
    <w:p w14:paraId="1E3F9CB4">
      <w:pPr>
        <w:pStyle w:val="12"/>
        <w:spacing w:line="480" w:lineRule="auto"/>
        <w:ind w:firstLine="42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分类是按能源消耗类型、载能工质种类、含碳原料划分的统计方式，宜包含外购能源（煤、气、油、电等）、工业企业自产自用能源（可再生能源、余热回收利用能源等）及含碳原料（石灰石、白云石、外购生铁、铁合金、炭阳极等）。碳排放监测按照温室气体种类分类，即：二氧化碳（CO2）、甲烷（CH4）、氧化亚氮（N2O）、氢氟碳化物（HFCs）、全氟化碳（PFCs）和六氟化硫（SF6）。</w:t>
      </w:r>
    </w:p>
    <w:p w14:paraId="096B6EAD">
      <w:pPr>
        <w:pStyle w:val="12"/>
        <w:spacing w:line="480" w:lineRule="auto"/>
        <w:ind w:firstLine="42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分项是根据工业企业生产工艺流程划分为主要生产用能、辅助生产用能、非生产用能、外供能源及载能工质的统计方式。其中生产用能宜按部门、车间、工艺、工序单元进行划分。</w:t>
      </w:r>
    </w:p>
    <w:p w14:paraId="798188AF">
      <w:pPr>
        <w:pStyle w:val="12"/>
        <w:spacing w:line="480" w:lineRule="auto"/>
        <w:ind w:firstLine="42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采集方式</w:t>
      </w:r>
    </w:p>
    <w:p w14:paraId="7965975C">
      <w:pPr>
        <w:pStyle w:val="12"/>
        <w:spacing w:line="480" w:lineRule="auto"/>
        <w:ind w:firstLine="42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工业企业宜根据自身已有信息化系统结构及未来发展规划合理选择数据采集方式，优先选择利用已有信息化系统数据对接为主，手动录入为辅。对不具备自动采集能力的重要数据采集节点，应加装计量器具、传感器、能源计量网关、碳计量网关等自动化数据采集传输设备，实现数据自动采集传输。</w:t>
      </w:r>
    </w:p>
    <w:p w14:paraId="496C92F1">
      <w:pPr>
        <w:pStyle w:val="12"/>
        <w:spacing w:line="480" w:lineRule="auto"/>
        <w:ind w:firstLine="42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应支持标准通讯协议，具备与第三方系统的数据通信对接能力。</w:t>
      </w:r>
    </w:p>
    <w:p w14:paraId="654DFE64">
      <w:pPr>
        <w:pStyle w:val="12"/>
        <w:spacing w:line="480" w:lineRule="auto"/>
        <w:ind w:firstLine="42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应有良好的环境适应性，能在各种工业环境下稳定运行。</w:t>
      </w:r>
    </w:p>
    <w:p w14:paraId="7C25302B">
      <w:pPr>
        <w:pStyle w:val="12"/>
        <w:spacing w:line="480" w:lineRule="auto"/>
        <w:ind w:firstLine="42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应确保数据传输安全、可靠和实时的传输到数据管理层。</w:t>
      </w:r>
    </w:p>
    <w:p w14:paraId="39B5ECC3">
      <w:pPr>
        <w:pStyle w:val="12"/>
        <w:spacing w:line="480" w:lineRule="auto"/>
        <w:ind w:firstLine="42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应支持多种通信方式，包括有线和无线通信，以适应不同的工业场景。</w:t>
      </w:r>
    </w:p>
    <w:p w14:paraId="1348DA85">
      <w:pPr>
        <w:pStyle w:val="12"/>
        <w:spacing w:line="480" w:lineRule="auto"/>
        <w:ind w:firstLine="42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应具备数据加密和网络安全措施，防止数据泄露与被未授权访问。</w:t>
      </w:r>
    </w:p>
    <w:p w14:paraId="6CF3E672">
      <w:pPr>
        <w:pStyle w:val="12"/>
        <w:spacing w:line="480" w:lineRule="auto"/>
        <w:ind w:firstLine="42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数据安全层</w:t>
      </w:r>
    </w:p>
    <w:p w14:paraId="63DCA437">
      <w:pPr>
        <w:pStyle w:val="12"/>
        <w:spacing w:line="480" w:lineRule="auto"/>
        <w:ind w:firstLine="42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工业企业能碳管控中心涉及软、硬、网络传输安全，应满足GB/T40063规定提及的安全要求。</w:t>
      </w:r>
    </w:p>
    <w:p w14:paraId="2294B51D">
      <w:pPr>
        <w:pStyle w:val="12"/>
        <w:spacing w:line="480" w:lineRule="auto"/>
        <w:ind w:firstLine="42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数据管理层</w:t>
      </w:r>
    </w:p>
    <w:p w14:paraId="3DF4D8ED">
      <w:pPr>
        <w:pStyle w:val="12"/>
        <w:spacing w:line="480" w:lineRule="auto"/>
        <w:ind w:firstLine="42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数据管理层进行数据存储、管理与维护。</w:t>
      </w:r>
    </w:p>
    <w:p w14:paraId="7532C932">
      <w:pPr>
        <w:pStyle w:val="12"/>
        <w:spacing w:line="480" w:lineRule="auto"/>
        <w:ind w:firstLine="42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应支持实时数据库、历史数据库和时序数据库等多种可选数据的存储方式。</w:t>
      </w:r>
    </w:p>
    <w:p w14:paraId="385D7FD8">
      <w:pPr>
        <w:pStyle w:val="12"/>
        <w:spacing w:line="480" w:lineRule="auto"/>
        <w:ind w:firstLine="42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应具备数据清洗、数据校验、异常数据处理等数据治理能力。</w:t>
      </w:r>
    </w:p>
    <w:p w14:paraId="75FE64E5">
      <w:pPr>
        <w:pStyle w:val="12"/>
        <w:spacing w:line="480" w:lineRule="auto"/>
        <w:ind w:firstLine="42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应具备符合开放平台API规范的接口能力，提供对数据的实时访问功能。</w:t>
      </w:r>
    </w:p>
    <w:p w14:paraId="3B71A6D1">
      <w:pPr>
        <w:pStyle w:val="12"/>
        <w:spacing w:line="480" w:lineRule="auto"/>
        <w:ind w:firstLine="42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应具备组织碳排放核算应用碳排放因子数据存储与更新能力。</w:t>
      </w:r>
    </w:p>
    <w:p w14:paraId="1219830F">
      <w:pPr>
        <w:pStyle w:val="12"/>
        <w:spacing w:line="480" w:lineRule="auto"/>
        <w:ind w:firstLine="42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应具备历史数据存储能力，存储时间不少于5年。</w:t>
      </w:r>
    </w:p>
    <w:p w14:paraId="77C595D6">
      <w:pPr>
        <w:pStyle w:val="12"/>
        <w:spacing w:line="480" w:lineRule="auto"/>
        <w:ind w:firstLine="42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应具备权限管理能力，可对不同的角色、业务模块进行访问授权，保障数据访问的安全性。</w:t>
      </w:r>
    </w:p>
    <w:p w14:paraId="72122634">
      <w:pPr>
        <w:pStyle w:val="12"/>
        <w:spacing w:line="480" w:lineRule="auto"/>
        <w:ind w:firstLine="42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平台算法层</w:t>
      </w:r>
    </w:p>
    <w:p w14:paraId="3D5095A6">
      <w:pPr>
        <w:pStyle w:val="12"/>
        <w:spacing w:line="480" w:lineRule="auto"/>
        <w:ind w:firstLine="42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应具备支持组织边界碳排放核算应用的碳核算模型，可选包括排放因子法、物料平衡法、在线监测法等多种核算方法。</w:t>
      </w:r>
    </w:p>
    <w:p w14:paraId="5789C56A">
      <w:pPr>
        <w:pStyle w:val="12"/>
        <w:spacing w:line="480" w:lineRule="auto"/>
        <w:ind w:firstLine="42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应具备支持碳排放总量、碳排放强度计算及对标统计分析等功能的碳绩效模型。</w:t>
      </w:r>
    </w:p>
    <w:p w14:paraId="5B67519E">
      <w:pPr>
        <w:pStyle w:val="12"/>
        <w:spacing w:line="480" w:lineRule="auto"/>
        <w:ind w:firstLine="42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应具备支持碳资产管理、减排项目收益测算、碳交易模拟试算等功能的算法模型。</w:t>
      </w:r>
    </w:p>
    <w:p w14:paraId="25B2F9A2">
      <w:pPr>
        <w:pStyle w:val="12"/>
        <w:spacing w:line="480" w:lineRule="auto"/>
        <w:ind w:firstLine="42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应具备支持工业企业碳达峰预测、碳中和减排路径分析与评估等功能的算法模型。</w:t>
      </w:r>
    </w:p>
    <w:p w14:paraId="5E1F9085">
      <w:pPr>
        <w:pStyle w:val="12"/>
        <w:spacing w:line="480" w:lineRule="auto"/>
        <w:ind w:firstLine="42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选用排放因子法核算组织碳排放量的工业企业，应按照GB/T 32150、GB/T 32151标准要求，合理识别组织边界、温室气体排放源并按相应行业选择温室气体排放方法学公式进行组织碳核算。</w:t>
      </w:r>
    </w:p>
    <w:p w14:paraId="7BF821E5">
      <w:pPr>
        <w:pStyle w:val="12"/>
        <w:spacing w:line="480" w:lineRule="auto"/>
        <w:ind w:firstLine="42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业务功能层</w:t>
      </w:r>
    </w:p>
    <w:p w14:paraId="79393763">
      <w:pPr>
        <w:pStyle w:val="12"/>
        <w:spacing w:line="480" w:lineRule="auto"/>
        <w:ind w:firstLine="42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业务功能层应实现人与系统交互，通过操作系统完成对能源与碳排放的管控，需具备如下应用功能：</w:t>
      </w:r>
    </w:p>
    <w:p w14:paraId="230ED212">
      <w:pPr>
        <w:pStyle w:val="12"/>
        <w:spacing w:line="480" w:lineRule="auto"/>
        <w:ind w:firstLine="42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 xml:space="preserve">能碳看板 </w:t>
      </w:r>
    </w:p>
    <w:p w14:paraId="0A9DAED2">
      <w:pPr>
        <w:pStyle w:val="12"/>
        <w:spacing w:line="480" w:lineRule="auto"/>
        <w:ind w:firstLine="42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汇总展示企业整体用能与碳排放情况，显示内容包含：用能汇总分析、用能趋势、整体负荷情况、碳排放相关数据公示、碳减排目标完成情况，支持快捷查看告警信息、碳相关行业动态、知识库。</w:t>
      </w:r>
    </w:p>
    <w:p w14:paraId="5E485D31">
      <w:pPr>
        <w:pStyle w:val="12"/>
        <w:spacing w:line="480" w:lineRule="auto"/>
        <w:ind w:firstLine="42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实时监控</w:t>
      </w:r>
    </w:p>
    <w:p w14:paraId="192C15C4">
      <w:pPr>
        <w:pStyle w:val="12"/>
        <w:spacing w:line="480" w:lineRule="auto"/>
        <w:ind w:firstLine="42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实时监控功能提供对企业能源消耗和碳排放量设施动态状态变化的即时观察，通过实时数据流和可视化仪表板，操作人员能够监控能源使用和碳排放情况，及时发现不合理用能情况或碳排放异常、处理异常告警等。</w:t>
      </w:r>
    </w:p>
    <w:p w14:paraId="4B4BC86F">
      <w:pPr>
        <w:pStyle w:val="12"/>
        <w:spacing w:line="480" w:lineRule="auto"/>
        <w:ind w:firstLine="42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能效分析</w:t>
      </w:r>
    </w:p>
    <w:p w14:paraId="3555280F">
      <w:pPr>
        <w:pStyle w:val="12"/>
        <w:spacing w:line="480" w:lineRule="auto"/>
        <w:ind w:firstLine="42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系统支持对不同时间段的不同能源类型消耗和碳排放量进行统计分析，结合生产产量、产值及其他经济指标，分析重点用能设备及重点工艺能效碳排放指标，量化对标并分析能源消耗和碳排放过高或能效水平偏低的原因，进而评估节能减排措施可行性方案。</w:t>
      </w:r>
    </w:p>
    <w:p w14:paraId="1EEEAA35">
      <w:pPr>
        <w:pStyle w:val="12"/>
        <w:spacing w:line="480" w:lineRule="auto"/>
        <w:ind w:firstLine="42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减碳计划</w:t>
      </w:r>
    </w:p>
    <w:p w14:paraId="4504762A">
      <w:pPr>
        <w:pStyle w:val="12"/>
        <w:spacing w:line="480" w:lineRule="auto"/>
        <w:ind w:firstLine="42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减碳计划功能支持企业制定和优化能源使用、碳排放量管控计划，以及制定合理的节能减碳目标。</w:t>
      </w:r>
    </w:p>
    <w:p w14:paraId="57360AF7">
      <w:pPr>
        <w:pStyle w:val="12"/>
        <w:spacing w:line="480" w:lineRule="auto"/>
        <w:ind w:firstLine="42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能碳预测</w:t>
      </w:r>
    </w:p>
    <w:p w14:paraId="4F4F7A2D">
      <w:pPr>
        <w:pStyle w:val="12"/>
        <w:spacing w:line="480" w:lineRule="auto"/>
        <w:ind w:firstLine="42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根据工业企业用户用能结构及生产工艺特征等基础数据积累，结合能源供应、市场需求、碳市场价格波动、外部天气环境变化等信息，预测用户未来一定时间内能源消耗量、碳排放量变化趋势。</w:t>
      </w:r>
    </w:p>
    <w:p w14:paraId="370EDF06">
      <w:pPr>
        <w:pStyle w:val="12"/>
        <w:spacing w:line="480" w:lineRule="auto"/>
        <w:ind w:firstLine="42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碳交易辅助</w:t>
      </w:r>
    </w:p>
    <w:p w14:paraId="508EB861">
      <w:pPr>
        <w:pStyle w:val="12"/>
        <w:spacing w:line="480" w:lineRule="auto"/>
        <w:ind w:firstLine="42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获取更新并展示碳交易市场的动态资讯，具备碳资产交易信息统计汇总与存储功能，具备风险评估与提前预警交易风险能力。 根据工业企业用户年度碳配额、年度碳排放目标、动态碳排放量、减排项目核定减排量、碳市场价格等相关信息，预测碳交易履约合理时机及预警信息提示，辅助企业碳交易策略制定与计划执行。</w:t>
      </w:r>
    </w:p>
    <w:p w14:paraId="0E443ADB">
      <w:pPr>
        <w:pStyle w:val="12"/>
        <w:spacing w:line="480" w:lineRule="auto"/>
        <w:ind w:firstLine="42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对标考核</w:t>
      </w:r>
    </w:p>
    <w:p w14:paraId="6A92A053">
      <w:pPr>
        <w:pStyle w:val="12"/>
        <w:spacing w:line="480" w:lineRule="auto"/>
        <w:ind w:firstLine="42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对标考核功能使用企业能源消耗数据、能效指标、碳排放量及碳强度指标与行业标准或历史基准值数据进行比较，评估企业的能源效率和碳排放绩效管理水平，帮助企业发现改进空间。</w:t>
      </w:r>
    </w:p>
    <w:p w14:paraId="161D75E8">
      <w:pPr>
        <w:pStyle w:val="12"/>
        <w:spacing w:line="480" w:lineRule="auto"/>
        <w:ind w:firstLine="42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 xml:space="preserve">能碳绩效评价 </w:t>
      </w:r>
    </w:p>
    <w:p w14:paraId="03411263">
      <w:pPr>
        <w:pStyle w:val="12"/>
        <w:spacing w:line="480" w:lineRule="auto"/>
        <w:ind w:firstLine="42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综合工业企业能源消耗、碳排放量、碳排放强度及产量产值等实际数据，对企业用户能碳绩效进行量化评价，从整体角度进行综合评价，引导用户采取更有利的节能降碳措施。</w:t>
      </w:r>
    </w:p>
    <w:p w14:paraId="726B0FEB">
      <w:pPr>
        <w:pStyle w:val="12"/>
        <w:spacing w:line="480" w:lineRule="auto"/>
        <w:ind w:firstLine="42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节能降碳策略优化</w:t>
      </w:r>
    </w:p>
    <w:p w14:paraId="104E8DCE">
      <w:pPr>
        <w:pStyle w:val="12"/>
        <w:spacing w:line="480" w:lineRule="auto"/>
        <w:ind w:firstLine="42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根据用户实际用能特点及生产工艺特征，识别温室气体排放源及高能耗设施，结合实时监测数据，从能源结构调优、含碳原料替代、生产工艺升级改进等多方面构建节能降碳运行策略模型。</w:t>
      </w:r>
    </w:p>
    <w:p w14:paraId="30A2E3BD">
      <w:pPr>
        <w:pStyle w:val="12"/>
        <w:spacing w:line="480" w:lineRule="auto"/>
        <w:ind w:firstLine="42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碳资产管理</w:t>
      </w:r>
    </w:p>
    <w:p w14:paraId="7407A392">
      <w:pPr>
        <w:pStyle w:val="12"/>
        <w:spacing w:line="480" w:lineRule="auto"/>
        <w:ind w:firstLine="42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工业企业能碳管控中心应具备碳资产管理功能，支持年度碳配额、碳排放总量、年度余额、绿电绿证及CCER交易量等碳资产信息录入、计算、分析及展示功能，支持碳资产变化趋势分析，具备配额试算，跟踪统计功能，辅助工业企业碳交易策略制定。</w:t>
      </w:r>
    </w:p>
    <w:p w14:paraId="641B170A">
      <w:pPr>
        <w:pStyle w:val="12"/>
        <w:spacing w:line="480" w:lineRule="auto"/>
        <w:ind w:firstLine="42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碳资产分析</w:t>
      </w:r>
    </w:p>
    <w:p w14:paraId="7E4FD656">
      <w:pPr>
        <w:pStyle w:val="12"/>
        <w:spacing w:line="480" w:lineRule="auto"/>
        <w:ind w:firstLine="42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汇总工业企业年度碳排放实际值、年度碳排放配额、年度履约碳排放量、节能项目核定减排量、节能项目投资额等相关信息，结合碳交易市场碳价信息，统计分析企业年度综合节能减排收益及企业碳资产变化情况。</w:t>
      </w:r>
    </w:p>
    <w:p w14:paraId="57DE9D2C">
      <w:pPr>
        <w:pStyle w:val="12"/>
        <w:spacing w:line="480" w:lineRule="auto"/>
        <w:ind w:firstLine="42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碳排放汇总分析</w:t>
      </w:r>
    </w:p>
    <w:p w14:paraId="12408B9C">
      <w:pPr>
        <w:pStyle w:val="12"/>
        <w:spacing w:line="480" w:lineRule="auto"/>
        <w:ind w:firstLine="42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按照不同时间维度（实时、日、月、年）、不同核算维度（直接排放、间接排放），基于排放设施为最小核算单元，对工业企业碳排放量以图表多种展示形式分析企业碳排放量，并将核算法获得的碳排放量与实时监测法获得的碳排放量进行对比分析。</w:t>
      </w:r>
    </w:p>
    <w:p w14:paraId="5138A55B">
      <w:pPr>
        <w:pStyle w:val="12"/>
        <w:spacing w:line="480" w:lineRule="auto"/>
        <w:ind w:firstLine="42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碳排放核算报告</w:t>
      </w:r>
    </w:p>
    <w:p w14:paraId="052C6B0E">
      <w:pPr>
        <w:pStyle w:val="12"/>
        <w:spacing w:line="480" w:lineRule="auto"/>
        <w:ind w:firstLine="42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根据GB/T 32150的规定及生态环境部等国家主管部门的相关报告要求，可定期生成工业企业组织边界范围内碳盘查报告。</w:t>
      </w:r>
    </w:p>
    <w:p w14:paraId="1413A725">
      <w:pPr>
        <w:pStyle w:val="12"/>
        <w:spacing w:line="480" w:lineRule="auto"/>
        <w:ind w:firstLine="42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计量器具管理</w:t>
      </w:r>
    </w:p>
    <w:p w14:paraId="50FFEC9D">
      <w:pPr>
        <w:pStyle w:val="12"/>
        <w:spacing w:line="480" w:lineRule="auto"/>
        <w:ind w:firstLine="42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对用于测量能源消耗、物料消耗、温室气体排放的各种计量器具相关信息进行维护、记录和管理，包括运行状态、安装位置、计量精度、品牌型号、校准年检日期、维护记录和生命周期跟踪，以保证测量数据的准确性和可靠性。</w:t>
      </w:r>
    </w:p>
    <w:p w14:paraId="05252964">
      <w:pPr>
        <w:pStyle w:val="12"/>
        <w:spacing w:line="480" w:lineRule="auto"/>
        <w:ind w:firstLine="42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告警管理</w:t>
      </w:r>
    </w:p>
    <w:p w14:paraId="7DB19972">
      <w:pPr>
        <w:pStyle w:val="12"/>
        <w:spacing w:line="480" w:lineRule="auto"/>
        <w:ind w:firstLine="42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对用能浪费、碳排放超标或监测设备离线、通信异常等进行实时监测并发出预警，以便及时采取措施。</w:t>
      </w:r>
    </w:p>
    <w:p w14:paraId="2158AC7E">
      <w:pPr>
        <w:pStyle w:val="12"/>
        <w:spacing w:line="480" w:lineRule="auto"/>
        <w:ind w:firstLine="42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系统管理</w:t>
      </w:r>
    </w:p>
    <w:p w14:paraId="61DE1DD6">
      <w:pPr>
        <w:pStyle w:val="12"/>
        <w:spacing w:line="480" w:lineRule="auto"/>
        <w:ind w:firstLine="42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应具备用户管理、角色管理、日志管理、计量器具配置、采集数据配置、告警配置、碳核算配置、碳配额管理、碳价信息维护等功能配置功能，以满足系统配置需要。</w:t>
      </w:r>
    </w:p>
    <w:p w14:paraId="212B8033">
      <w:pPr>
        <w:pStyle w:val="12"/>
        <w:spacing w:line="480" w:lineRule="auto"/>
        <w:ind w:firstLine="42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应用展示</w:t>
      </w:r>
    </w:p>
    <w:p w14:paraId="1CE1D5C2">
      <w:pPr>
        <w:pStyle w:val="12"/>
        <w:spacing w:line="480" w:lineRule="auto"/>
        <w:ind w:firstLine="42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应支持多终端访问，包括PC、移动设备和大屏幕展示。</w:t>
      </w:r>
    </w:p>
    <w:p w14:paraId="3A0F9D95">
      <w:pPr>
        <w:pStyle w:val="3"/>
        <w:numPr>
          <w:ilvl w:val="1"/>
          <w:numId w:val="4"/>
        </w:numPr>
        <w:ind w:left="10" w:leftChars="0" w:hanging="10" w:firstLineChars="0"/>
        <w:rPr>
          <w:rFonts w:hint="eastAsia" w:ascii="仿宋" w:hAnsi="仿宋" w:eastAsia="仿宋" w:cs="仿宋"/>
          <w:b/>
          <w:bCs/>
          <w:spacing w:val="-4"/>
          <w:kern w:val="2"/>
          <w:sz w:val="28"/>
          <w:szCs w:val="28"/>
          <w:lang w:val="en-US" w:eastAsia="zh-CN" w:bidi="ar-SA"/>
        </w:rPr>
      </w:pPr>
      <w:r>
        <w:rPr>
          <w:rFonts w:hint="eastAsia" w:ascii="仿宋" w:hAnsi="仿宋" w:eastAsia="仿宋" w:cs="仿宋"/>
          <w:b/>
          <w:bCs/>
          <w:spacing w:val="-4"/>
          <w:kern w:val="2"/>
          <w:sz w:val="28"/>
          <w:szCs w:val="28"/>
          <w:lang w:val="en-US" w:eastAsia="zh-CN" w:bidi="ar-SA"/>
        </w:rPr>
        <w:t>硬件要求（第八章）</w:t>
      </w:r>
    </w:p>
    <w:p w14:paraId="5E06EC10">
      <w:pPr>
        <w:pStyle w:val="23"/>
        <w:numPr>
          <w:ilvl w:val="0"/>
          <w:numId w:val="0"/>
        </w:numPr>
        <w:spacing w:before="156" w:beforeLines="50" w:after="156" w:afterLines="50"/>
        <w:ind w:leftChars="0" w:firstLine="560" w:firstLineChars="200"/>
        <w:rPr>
          <w:rFonts w:hint="default" w:ascii="仿宋" w:hAnsi="仿宋" w:eastAsia="仿宋" w:cs="Times New Roman"/>
          <w:sz w:val="28"/>
          <w:szCs w:val="36"/>
          <w:lang w:val="en-US" w:eastAsia="zh-CN" w:bidi="ar-SA"/>
        </w:rPr>
      </w:pPr>
      <w:r>
        <w:rPr>
          <w:rFonts w:hint="eastAsia" w:ascii="仿宋" w:hAnsi="仿宋" w:eastAsia="仿宋" w:cs="Times New Roman"/>
          <w:sz w:val="28"/>
          <w:szCs w:val="36"/>
          <w:lang w:val="en-US" w:eastAsia="zh-CN" w:bidi="ar-SA"/>
        </w:rPr>
        <w:t>本章规定了工业企业能碳管控中心建设指南应配置能源计量器具、碳排放计量器具、能源计量网关、服务器、路由器、交换机、存储设备、不间断电源、防火墙、信息安全隔离装置等硬件设备，并做出了详细要求。具体内容如下：</w:t>
      </w:r>
    </w:p>
    <w:p w14:paraId="011E79F1">
      <w:pPr>
        <w:pStyle w:val="12"/>
        <w:spacing w:line="480" w:lineRule="auto"/>
        <w:ind w:firstLine="42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企业应配置能源计量器具、碳排放计量器具、能源计量网关、服务器、路由器、交换机、存储设备、不间断电源、防火墙、信息安全隔离装置等硬件设备。</w:t>
      </w:r>
    </w:p>
    <w:p w14:paraId="0938D58A">
      <w:pPr>
        <w:pStyle w:val="12"/>
        <w:spacing w:line="480" w:lineRule="auto"/>
        <w:ind w:firstLine="42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能源计量器具配备应符合GB 17167的规定，并需要建立设备台账，实现计量器具的全生命周期管理功能。</w:t>
      </w:r>
    </w:p>
    <w:p w14:paraId="6464D172">
      <w:pPr>
        <w:pStyle w:val="12"/>
        <w:spacing w:line="480" w:lineRule="auto"/>
        <w:ind w:firstLine="42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碳排放计量器具应根据不用行业进行选择，满足各行业、各地方相关的标准和政策要求。</w:t>
      </w:r>
    </w:p>
    <w:p w14:paraId="0AC3DE3E">
      <w:pPr>
        <w:pStyle w:val="12"/>
        <w:spacing w:line="480" w:lineRule="auto"/>
        <w:ind w:firstLine="42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能源计量网关宜参考GB/T 35031.301的规定，具备数据采集、协议解析、数据处理与上报、断点续传、告警事件发送、控制指令执行及远程运维管理等功能。</w:t>
      </w:r>
    </w:p>
    <w:p w14:paraId="1731A7D3">
      <w:pPr>
        <w:pStyle w:val="12"/>
        <w:spacing w:line="480" w:lineRule="auto"/>
        <w:ind w:firstLine="42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服务器、路由器、交换机、存储设备、不间断电源装置、防火墙宜符合GB/T 40063 的规定。</w:t>
      </w:r>
    </w:p>
    <w:p w14:paraId="66FFFF13">
      <w:pPr>
        <w:pStyle w:val="12"/>
        <w:spacing w:line="480" w:lineRule="auto"/>
        <w:ind w:firstLine="42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工业企业生产控制网络与工业企业能碳管控中心之间应配置信息安全隔离装置，保障生产控制网络免受来自互联网的威胁与入侵，信息安全隔离装置需满足GB/T 37934的相关规定。</w:t>
      </w:r>
    </w:p>
    <w:p w14:paraId="08E6DC72">
      <w:pPr>
        <w:pStyle w:val="3"/>
        <w:numPr>
          <w:ilvl w:val="1"/>
          <w:numId w:val="4"/>
        </w:numPr>
        <w:ind w:left="10" w:leftChars="0" w:hanging="10" w:firstLineChars="0"/>
        <w:rPr>
          <w:rFonts w:hint="eastAsia" w:ascii="仿宋" w:hAnsi="仿宋" w:eastAsia="仿宋" w:cs="仿宋"/>
          <w:b/>
          <w:bCs/>
          <w:spacing w:val="-4"/>
          <w:kern w:val="2"/>
          <w:sz w:val="28"/>
          <w:szCs w:val="28"/>
          <w:lang w:val="en-US" w:eastAsia="zh-CN" w:bidi="ar-SA"/>
        </w:rPr>
      </w:pPr>
      <w:r>
        <w:rPr>
          <w:rFonts w:hint="eastAsia" w:ascii="仿宋" w:hAnsi="仿宋" w:eastAsia="仿宋" w:cs="仿宋"/>
          <w:b/>
          <w:bCs/>
          <w:spacing w:val="-4"/>
          <w:kern w:val="2"/>
          <w:sz w:val="28"/>
          <w:szCs w:val="28"/>
          <w:lang w:val="en-US" w:eastAsia="zh-CN" w:bidi="ar-SA"/>
        </w:rPr>
        <w:t>运行管理维护</w:t>
      </w:r>
    </w:p>
    <w:p w14:paraId="4198DE15">
      <w:pPr>
        <w:keepNext w:val="0"/>
        <w:keepLines w:val="0"/>
        <w:widowControl/>
        <w:suppressLineNumbers w:val="0"/>
        <w:ind w:firstLine="560" w:firstLineChars="200"/>
        <w:jc w:val="left"/>
        <w:rPr>
          <w:rFonts w:hint="eastAsia"/>
          <w:lang w:val="en-US" w:eastAsia="zh-CN"/>
        </w:rPr>
      </w:pPr>
      <w:r>
        <w:rPr>
          <w:rFonts w:hint="eastAsia" w:ascii="仿宋" w:hAnsi="仿宋" w:eastAsia="仿宋" w:cs="Times New Roman"/>
          <w:kern w:val="0"/>
          <w:sz w:val="28"/>
          <w:szCs w:val="36"/>
          <w:lang w:val="en-US" w:eastAsia="zh-CN" w:bidi="ar-SA"/>
        </w:rPr>
        <w:t>围绕工业企业能碳管控中心的管理，从责任主体、人员、数据、系统、技术应用、安全风险等方面提出要求，以保障其稳定、高效、安全运行。具体内容如下：</w:t>
      </w:r>
    </w:p>
    <w:p w14:paraId="6CAC3B12">
      <w:pPr>
        <w:pStyle w:val="12"/>
        <w:spacing w:line="480" w:lineRule="auto"/>
        <w:ind w:firstLine="42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责任主体与管理体系</w:t>
      </w:r>
    </w:p>
    <w:p w14:paraId="667969F0">
      <w:pPr>
        <w:pStyle w:val="12"/>
        <w:spacing w:line="480" w:lineRule="auto"/>
        <w:ind w:firstLine="42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应明确能碳管控中心运行维护管理的责任主体，制定全面的能碳管控中心运行维护管理制度，明确岗位职责、权限范围及审批流程。</w:t>
      </w:r>
    </w:p>
    <w:p w14:paraId="320A62FF">
      <w:pPr>
        <w:pStyle w:val="12"/>
        <w:spacing w:line="480" w:lineRule="auto"/>
        <w:ind w:firstLine="42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人员能力与培训</w:t>
      </w:r>
    </w:p>
    <w:p w14:paraId="094D02AA">
      <w:pPr>
        <w:pStyle w:val="12"/>
        <w:spacing w:line="480" w:lineRule="auto"/>
        <w:ind w:firstLine="42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应定期组织能碳管控中心运维人员参加专业培训，提高运维人员的专业技能和知识水平。</w:t>
      </w:r>
    </w:p>
    <w:p w14:paraId="5AE21A84">
      <w:pPr>
        <w:pStyle w:val="12"/>
        <w:spacing w:line="480" w:lineRule="auto"/>
        <w:ind w:firstLine="42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宜建立运行维护人员考核机制，包括理论考核与实操评价，考核结果应作为岗位资格认定的依据。</w:t>
      </w:r>
    </w:p>
    <w:p w14:paraId="200254E8">
      <w:pPr>
        <w:pStyle w:val="12"/>
        <w:spacing w:line="480" w:lineRule="auto"/>
        <w:ind w:firstLine="42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数据质量管理</w:t>
      </w:r>
    </w:p>
    <w:p w14:paraId="7594FD7A">
      <w:pPr>
        <w:pStyle w:val="12"/>
        <w:spacing w:line="480" w:lineRule="auto"/>
        <w:ind w:firstLine="42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应规范数据全流程管理，包括数据采集、传输、存储、处理及分析等环节，确保数据的准确性、完整性、及时性和可追溯性。</w:t>
      </w:r>
    </w:p>
    <w:p w14:paraId="55DFFCB7">
      <w:pPr>
        <w:pStyle w:val="12"/>
        <w:spacing w:line="480" w:lineRule="auto"/>
        <w:ind w:firstLine="42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应建立数据质量评估机制，包括制定数据质量评价指标及考核周期、定期开展数据质量核查、明确数据异常处置流程并形成闭环管理记录。</w:t>
      </w:r>
    </w:p>
    <w:p w14:paraId="56C5285C">
      <w:pPr>
        <w:pStyle w:val="12"/>
        <w:spacing w:line="480" w:lineRule="auto"/>
        <w:ind w:firstLine="42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系统维护与保障</w:t>
      </w:r>
    </w:p>
    <w:p w14:paraId="7E0E541F">
      <w:pPr>
        <w:pStyle w:val="12"/>
        <w:spacing w:line="480" w:lineRule="auto"/>
        <w:ind w:firstLine="42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应制定系统维护规程，包括日常巡检、定期保养、故障处置等内容，定期对软、硬件系统进行检查、维护和升级，保证系统持续、稳定、安全、可靠运行，并做好维护记录。</w:t>
      </w:r>
    </w:p>
    <w:p w14:paraId="487D77E7">
      <w:pPr>
        <w:pStyle w:val="12"/>
        <w:spacing w:line="480" w:lineRule="auto"/>
        <w:ind w:firstLine="42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应建立系统应急预案，明确故障分级响应机制，关键系统故障恢复时间宜不超过4小时。</w:t>
      </w:r>
    </w:p>
    <w:p w14:paraId="46578E69">
      <w:pPr>
        <w:pStyle w:val="12"/>
        <w:spacing w:line="480" w:lineRule="auto"/>
        <w:ind w:firstLine="42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智能化技术应用</w:t>
      </w:r>
    </w:p>
    <w:p w14:paraId="79CD7D11">
      <w:pPr>
        <w:pStyle w:val="12"/>
        <w:spacing w:line="480" w:lineRule="auto"/>
        <w:ind w:firstLine="42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宜采用大数据分析、人工智能等技术，实现能碳数据的智能诊断、预测及优化建议。</w:t>
      </w:r>
    </w:p>
    <w:p w14:paraId="437A7ECC">
      <w:pPr>
        <w:pStyle w:val="12"/>
        <w:spacing w:line="480" w:lineRule="auto"/>
        <w:ind w:firstLine="42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可建立运行维护知识库，积累典型故障案例及解决方案，支持运维经验的共享与复用。</w:t>
      </w:r>
    </w:p>
    <w:p w14:paraId="11BA7E92">
      <w:pPr>
        <w:pStyle w:val="12"/>
        <w:spacing w:line="480" w:lineRule="auto"/>
        <w:ind w:firstLine="42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安全与风险管理</w:t>
      </w:r>
    </w:p>
    <w:p w14:paraId="1234345E">
      <w:pPr>
        <w:pStyle w:val="12"/>
        <w:spacing w:line="480" w:lineRule="auto"/>
        <w:ind w:firstLine="42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应定期开展安全风险评估，识别潜在风险并制定防控措施，评估周期不宜超过1年。</w:t>
      </w:r>
    </w:p>
    <w:p w14:paraId="1054089F">
      <w:pPr>
        <w:pStyle w:val="12"/>
        <w:spacing w:line="480" w:lineRule="auto"/>
        <w:ind w:firstLine="420"/>
        <w:rPr>
          <w:rFonts w:hint="eastAsia"/>
          <w:lang w:val="en-US" w:eastAsia="zh-CN"/>
        </w:rPr>
      </w:pPr>
      <w:r>
        <w:rPr>
          <w:rFonts w:hint="eastAsia" w:ascii="仿宋" w:hAnsi="仿宋" w:eastAsia="仿宋" w:cs="仿宋"/>
          <w:sz w:val="24"/>
          <w:szCs w:val="24"/>
          <w:lang w:val="en-US" w:eastAsia="zh-CN"/>
        </w:rPr>
        <w:t>应建立数据容灾备份机制，对系统文件定期整理、存档、备份，关键数据备份频率不低于每日1次。备份数据保存周期不低于5年。</w:t>
      </w:r>
    </w:p>
    <w:p w14:paraId="2D5A6C8A">
      <w:pPr>
        <w:pStyle w:val="2"/>
        <w:numPr>
          <w:ilvl w:val="0"/>
          <w:numId w:val="2"/>
        </w:numPr>
      </w:pPr>
      <w:r>
        <w:rPr>
          <w:rFonts w:hint="eastAsia" w:ascii="仿宋" w:hAnsi="仿宋" w:eastAsia="仿宋" w:cs="仿宋"/>
        </w:rPr>
        <w:t>主要试验(或验证)情况分析</w:t>
      </w:r>
    </w:p>
    <w:p w14:paraId="78772575">
      <w:pPr>
        <w:keepNext w:val="0"/>
        <w:keepLines w:val="0"/>
        <w:widowControl/>
        <w:suppressLineNumbers w:val="0"/>
        <w:ind w:firstLine="560" w:firstLineChars="200"/>
        <w:jc w:val="left"/>
        <w:rPr>
          <w:rFonts w:hint="eastAsia" w:ascii="仿宋" w:hAnsi="仿宋" w:eastAsia="仿宋" w:cs="Times New Roman"/>
          <w:kern w:val="0"/>
          <w:sz w:val="28"/>
          <w:szCs w:val="36"/>
          <w:lang w:val="en-US" w:eastAsia="zh-CN" w:bidi="ar-SA"/>
        </w:rPr>
      </w:pPr>
      <w:r>
        <w:rPr>
          <w:rFonts w:hint="eastAsia" w:ascii="仿宋" w:hAnsi="仿宋" w:eastAsia="仿宋" w:cs="Times New Roman"/>
          <w:kern w:val="0"/>
          <w:sz w:val="28"/>
          <w:szCs w:val="36"/>
          <w:lang w:val="en-US" w:eastAsia="zh-CN" w:bidi="ar-SA"/>
        </w:rPr>
        <w:t>通过大量的项目实践，根据多家不同行业工业企业的能碳管控中心进行深入剖析，并与标准内容进行对照评估。部分企业已根据标准中的理念和要求，对自身能碳管理工作进行初步优化尝试，在能源消耗监测准确性、碳排放核算规范性等方面取得积极效果，为标准的可行性提供了初步实践支撑。后续将在标准发布实施过程中，持续收集企业反馈，进一步完善标准内容。</w:t>
      </w:r>
    </w:p>
    <w:p w14:paraId="4EF80DCE">
      <w:pPr>
        <w:pStyle w:val="2"/>
        <w:numPr>
          <w:ilvl w:val="0"/>
          <w:numId w:val="2"/>
        </w:numPr>
        <w:rPr>
          <w:rFonts w:ascii="仿宋" w:hAnsi="仿宋" w:eastAsia="仿宋" w:cs="仿宋"/>
        </w:rPr>
      </w:pPr>
      <w:r>
        <w:rPr>
          <w:rFonts w:hint="eastAsia" w:ascii="仿宋" w:hAnsi="仿宋" w:eastAsia="仿宋" w:cs="仿宋"/>
        </w:rPr>
        <w:t xml:space="preserve">标准中涉及专利的情况 </w:t>
      </w:r>
    </w:p>
    <w:p w14:paraId="1D3683CF">
      <w:pPr>
        <w:ind w:firstLine="420"/>
        <w:rPr>
          <w:rFonts w:ascii="仿宋" w:hAnsi="仿宋" w:eastAsia="仿宋" w:cs="仿宋"/>
          <w:sz w:val="28"/>
          <w:szCs w:val="36"/>
        </w:rPr>
      </w:pPr>
      <w:r>
        <w:rPr>
          <w:rFonts w:hint="eastAsia" w:ascii="仿宋" w:hAnsi="仿宋" w:eastAsia="仿宋" w:cs="仿宋"/>
          <w:sz w:val="28"/>
          <w:szCs w:val="36"/>
        </w:rPr>
        <w:t>无。</w:t>
      </w:r>
    </w:p>
    <w:p w14:paraId="4F6B6C39">
      <w:pPr>
        <w:pStyle w:val="2"/>
        <w:numPr>
          <w:ilvl w:val="0"/>
          <w:numId w:val="2"/>
        </w:numPr>
        <w:rPr>
          <w:rFonts w:ascii="仿宋" w:hAnsi="仿宋" w:eastAsia="仿宋" w:cs="仿宋"/>
        </w:rPr>
      </w:pPr>
      <w:r>
        <w:rPr>
          <w:rFonts w:hint="eastAsia" w:ascii="仿宋" w:hAnsi="仿宋" w:eastAsia="仿宋" w:cs="仿宋"/>
        </w:rPr>
        <w:t>预期达到的社会效益、对产业发展的作用的情况</w:t>
      </w:r>
    </w:p>
    <w:p w14:paraId="27DF2DEB">
      <w:pPr>
        <w:keepNext w:val="0"/>
        <w:keepLines w:val="0"/>
        <w:widowControl/>
        <w:suppressLineNumbers w:val="0"/>
        <w:ind w:firstLine="560" w:firstLineChars="200"/>
        <w:jc w:val="left"/>
      </w:pPr>
      <w:r>
        <w:rPr>
          <w:rFonts w:hint="eastAsia" w:ascii="仿宋" w:hAnsi="仿宋" w:eastAsia="仿宋" w:cs="Times New Roman"/>
          <w:kern w:val="0"/>
          <w:sz w:val="28"/>
          <w:szCs w:val="36"/>
          <w:lang w:val="en-US" w:eastAsia="zh-CN" w:bidi="ar-SA"/>
        </w:rPr>
        <w:t>通过规范工业企业能碳管控中心建设，助力企业精准监测、管理能源消耗与碳排放，不仅能促进工业领域节能降碳，有效减少温室气体排放，助力我国实现碳达峰、碳中和目标，为全球应对气候变化贡献力量；还能引导企业建立科学能源管理体系，实时监测能源状况，实施能效优化，提高能源利用效率，降低能耗总量，缓解能源供需矛盾，保障国家能源安全。同时，减少工业生产污染物排放，降低生态环境压力，改善大气、水、土壤环境质量，推动生态可持续发展，为民众创造良好生产生活环境。此外，激励企业加大节能降碳技术研发、设备更新及管理创新投入，推动工业向绿色、低碳、循环方向转型，提升绿色竞争力。并且，工业企业作为经济活动的关键主体，其在能碳管控上的积极作为与成效，会对社会产生示范效应，引导其他行业和公众增强环保意识，形成全社会共同参与节能减排的良好氛围。在技术创新领域，鼓励企业和科研机构深入开展碳监测、碳数据分析、节能降碳等方面的研发创新，提升产业在碳管理方面的技术水平与创新能力，推动产业绿色低碳升级。同时，加强工业企业与能源、信息、环保等产业的深度融合，促进产业链上下游企业在碳管理上的协同发展，形成产业集群效应，提升产业整体的绿色竞争力。</w:t>
      </w:r>
    </w:p>
    <w:p w14:paraId="5CC76D0C">
      <w:pPr>
        <w:pStyle w:val="2"/>
        <w:numPr>
          <w:ilvl w:val="0"/>
          <w:numId w:val="2"/>
        </w:numPr>
        <w:rPr>
          <w:rFonts w:ascii="仿宋" w:hAnsi="仿宋" w:eastAsia="仿宋" w:cs="仿宋"/>
        </w:rPr>
      </w:pPr>
      <w:r>
        <w:rPr>
          <w:rFonts w:hint="eastAsia" w:ascii="仿宋" w:hAnsi="仿宋" w:eastAsia="仿宋" w:cs="仿宋"/>
        </w:rPr>
        <w:t>采用国际标准和国外先进标准情况，与国际、国外同类 标准水平的对比情况， 国内外关键指标对比分析或与测试的 国外样品、样机的相关数据对比情况</w:t>
      </w:r>
    </w:p>
    <w:p w14:paraId="69AF4F3B">
      <w:pPr>
        <w:pStyle w:val="15"/>
        <w:spacing w:before="156" w:after="156"/>
        <w:ind w:firstLine="544"/>
      </w:pPr>
      <w:r>
        <w:rPr>
          <w:rFonts w:hint="eastAsia" w:ascii="仿宋" w:hAnsi="仿宋" w:cs="仿宋"/>
          <w:spacing w:val="-4"/>
          <w:sz w:val="28"/>
          <w:szCs w:val="28"/>
        </w:rPr>
        <w:t>本文件为首次编制，国际和国内尚无同类标准。</w:t>
      </w:r>
    </w:p>
    <w:p w14:paraId="057F7D87">
      <w:pPr>
        <w:pStyle w:val="2"/>
        <w:numPr>
          <w:ilvl w:val="0"/>
          <w:numId w:val="2"/>
        </w:numPr>
        <w:rPr>
          <w:rFonts w:ascii="仿宋" w:hAnsi="仿宋" w:eastAsia="仿宋" w:cs="仿宋"/>
        </w:rPr>
      </w:pPr>
      <w:r>
        <w:rPr>
          <w:rFonts w:hint="eastAsia" w:ascii="仿宋" w:hAnsi="仿宋" w:eastAsia="仿宋" w:cs="仿宋"/>
        </w:rPr>
        <w:t>在标准体系中的位置，与现行相关法律、法规、规章及 相关标准，特别是强制性标准的协调性</w:t>
      </w:r>
    </w:p>
    <w:p w14:paraId="06FF5786">
      <w:pPr>
        <w:pStyle w:val="15"/>
        <w:spacing w:before="156" w:after="156"/>
        <w:ind w:firstLine="544"/>
        <w:rPr>
          <w:sz w:val="28"/>
          <w:szCs w:val="28"/>
        </w:rPr>
      </w:pPr>
      <w:r>
        <w:rPr>
          <w:rFonts w:hint="eastAsia" w:ascii="仿宋" w:hAnsi="仿宋" w:cs="仿宋"/>
          <w:spacing w:val="-4"/>
          <w:sz w:val="28"/>
          <w:szCs w:val="28"/>
        </w:rPr>
        <w:t>本文件属于团体标准，与现行法律、法规、规章和政策以及有关基础和相关标准不矛盾。</w:t>
      </w:r>
    </w:p>
    <w:p w14:paraId="0CCD5AFE">
      <w:pPr>
        <w:pStyle w:val="12"/>
        <w:numPr>
          <w:ilvl w:val="0"/>
          <w:numId w:val="2"/>
        </w:numPr>
        <w:rPr>
          <w:rFonts w:ascii="仿宋" w:hAnsi="仿宋" w:eastAsia="仿宋" w:cs="仿宋"/>
          <w:b/>
          <w:sz w:val="32"/>
        </w:rPr>
      </w:pPr>
      <w:r>
        <w:rPr>
          <w:rFonts w:hint="eastAsia" w:ascii="仿宋" w:hAnsi="仿宋" w:eastAsia="仿宋" w:cs="仿宋"/>
          <w:b/>
          <w:sz w:val="32"/>
        </w:rPr>
        <w:t xml:space="preserve">重大分歧意见的处理经过和依据 </w:t>
      </w:r>
    </w:p>
    <w:p w14:paraId="3D28754D">
      <w:pPr>
        <w:pStyle w:val="12"/>
        <w:ind w:firstLine="420"/>
        <w:rPr>
          <w:rFonts w:ascii="仿宋" w:hAnsi="仿宋" w:eastAsia="仿宋" w:cs="仿宋"/>
          <w:b/>
          <w:sz w:val="28"/>
          <w:szCs w:val="28"/>
        </w:rPr>
      </w:pPr>
      <w:r>
        <w:rPr>
          <w:rFonts w:hint="eastAsia" w:ascii="仿宋" w:hAnsi="仿宋" w:eastAsia="仿宋" w:cs="仿宋"/>
          <w:spacing w:val="-4"/>
          <w:sz w:val="28"/>
          <w:szCs w:val="28"/>
        </w:rPr>
        <w:t>本文件未产生重大分歧意见。</w:t>
      </w:r>
    </w:p>
    <w:p w14:paraId="5428D932">
      <w:pPr>
        <w:numPr>
          <w:ilvl w:val="0"/>
          <w:numId w:val="2"/>
        </w:numPr>
        <w:spacing w:before="130" w:line="297" w:lineRule="auto"/>
        <w:ind w:right="3265"/>
        <w:rPr>
          <w:rFonts w:ascii="仿宋" w:hAnsi="仿宋" w:eastAsia="仿宋" w:cs="仿宋"/>
          <w:b/>
          <w:sz w:val="32"/>
        </w:rPr>
      </w:pPr>
      <w:r>
        <w:rPr>
          <w:rFonts w:hint="eastAsia" w:ascii="仿宋" w:hAnsi="仿宋" w:eastAsia="仿宋" w:cs="仿宋"/>
          <w:b/>
          <w:sz w:val="32"/>
        </w:rPr>
        <w:t>标准性质的建议说明</w:t>
      </w:r>
    </w:p>
    <w:p w14:paraId="3E214548">
      <w:pPr>
        <w:pStyle w:val="12"/>
        <w:ind w:firstLine="420"/>
      </w:pPr>
      <w:r>
        <w:rPr>
          <w:rFonts w:hint="eastAsia" w:ascii="仿宋" w:hAnsi="仿宋" w:eastAsia="仿宋" w:cs="仿宋"/>
          <w:sz w:val="28"/>
          <w:szCs w:val="28"/>
        </w:rPr>
        <w:t>本文件为中关村</w:t>
      </w:r>
      <w:r>
        <w:rPr>
          <w:rFonts w:hint="eastAsia" w:ascii="仿宋" w:hAnsi="仿宋" w:eastAsia="仿宋" w:cs="仿宋"/>
          <w:spacing w:val="-4"/>
          <w:sz w:val="28"/>
          <w:szCs w:val="28"/>
        </w:rPr>
        <w:t>现代能源环境服务产业联盟标准</w:t>
      </w:r>
      <w:r>
        <w:rPr>
          <w:rFonts w:hint="eastAsia" w:ascii="仿宋" w:hAnsi="仿宋" w:cs="仿宋"/>
          <w:spacing w:val="-4"/>
          <w:sz w:val="28"/>
          <w:szCs w:val="28"/>
        </w:rPr>
        <w:t>，</w:t>
      </w:r>
      <w:r>
        <w:rPr>
          <w:rFonts w:hint="eastAsia" w:ascii="仿宋" w:hAnsi="仿宋" w:eastAsia="仿宋" w:cs="仿宋"/>
          <w:spacing w:val="-4"/>
          <w:sz w:val="28"/>
          <w:szCs w:val="28"/>
        </w:rPr>
        <w:t>属于团体标准</w:t>
      </w:r>
      <w:r>
        <w:rPr>
          <w:rFonts w:hint="eastAsia" w:ascii="仿宋" w:hAnsi="仿宋" w:cs="仿宋"/>
          <w:spacing w:val="-4"/>
          <w:sz w:val="28"/>
          <w:szCs w:val="28"/>
        </w:rPr>
        <w:t>，</w:t>
      </w:r>
      <w:r>
        <w:rPr>
          <w:rFonts w:hint="eastAsia" w:ascii="仿宋" w:hAnsi="仿宋" w:eastAsia="仿宋" w:cs="仿宋"/>
          <w:spacing w:val="-4"/>
          <w:sz w:val="28"/>
          <w:szCs w:val="28"/>
        </w:rPr>
        <w:t>供协会会员和社会自愿使用。</w:t>
      </w:r>
    </w:p>
    <w:p w14:paraId="1D6BA723">
      <w:pPr>
        <w:spacing w:before="130" w:line="297" w:lineRule="auto"/>
        <w:ind w:left="694" w:right="3265" w:hanging="667"/>
        <w:rPr>
          <w:rFonts w:ascii="仿宋" w:hAnsi="仿宋" w:eastAsia="仿宋" w:cs="仿宋"/>
          <w:b/>
          <w:bCs/>
          <w:snapToGrid w:val="0"/>
          <w:color w:val="000000"/>
          <w:spacing w:val="-1"/>
          <w:kern w:val="0"/>
          <w:sz w:val="32"/>
          <w:szCs w:val="32"/>
        </w:rPr>
      </w:pPr>
      <w:r>
        <w:rPr>
          <w:rFonts w:hint="eastAsia" w:ascii="仿宋" w:hAnsi="仿宋" w:eastAsia="仿宋" w:cs="仿宋"/>
          <w:b/>
          <w:bCs/>
          <w:snapToGrid w:val="0"/>
          <w:color w:val="000000"/>
          <w:spacing w:val="-1"/>
          <w:kern w:val="0"/>
          <w:sz w:val="32"/>
          <w:szCs w:val="32"/>
        </w:rPr>
        <w:t>十、彻标准的要求和措施建议</w:t>
      </w:r>
    </w:p>
    <w:p w14:paraId="45F7A43C">
      <w:pPr>
        <w:pStyle w:val="12"/>
        <w:ind w:firstLine="420"/>
        <w:rPr>
          <w:sz w:val="28"/>
          <w:szCs w:val="28"/>
        </w:rPr>
      </w:pPr>
      <w:r>
        <w:rPr>
          <w:rFonts w:hint="eastAsia" w:ascii="仿宋" w:hAnsi="仿宋" w:eastAsia="仿宋" w:cs="仿宋"/>
          <w:snapToGrid w:val="0"/>
          <w:color w:val="000000"/>
          <w:spacing w:val="-1"/>
          <w:kern w:val="0"/>
          <w:sz w:val="28"/>
          <w:szCs w:val="28"/>
        </w:rPr>
        <w:t>本文件为首次发布。</w:t>
      </w:r>
    </w:p>
    <w:p w14:paraId="48646651">
      <w:pPr>
        <w:spacing w:before="130" w:line="297" w:lineRule="auto"/>
        <w:ind w:left="694" w:right="3265" w:hanging="667"/>
        <w:rPr>
          <w:rFonts w:ascii="仿宋" w:hAnsi="仿宋" w:eastAsia="仿宋" w:cs="仿宋"/>
          <w:b/>
          <w:sz w:val="32"/>
        </w:rPr>
      </w:pPr>
      <w:r>
        <w:rPr>
          <w:rFonts w:hint="eastAsia" w:ascii="仿宋" w:hAnsi="仿宋" w:eastAsia="仿宋" w:cs="仿宋"/>
          <w:b/>
          <w:sz w:val="32"/>
        </w:rPr>
        <w:t>十一、废止现行标准</w:t>
      </w:r>
    </w:p>
    <w:p w14:paraId="4EB60711">
      <w:pPr>
        <w:pStyle w:val="12"/>
        <w:ind w:firstLine="420"/>
      </w:pPr>
      <w:r>
        <w:rPr>
          <w:rFonts w:hint="eastAsia" w:ascii="仿宋" w:hAnsi="仿宋" w:eastAsia="仿宋" w:cs="仿宋"/>
          <w:sz w:val="28"/>
          <w:szCs w:val="28"/>
        </w:rPr>
        <w:t>无。</w:t>
      </w:r>
    </w:p>
    <w:p w14:paraId="383A089E">
      <w:pPr>
        <w:spacing w:before="130" w:line="297" w:lineRule="auto"/>
        <w:ind w:left="694" w:right="3265" w:hanging="667"/>
        <w:rPr>
          <w:rFonts w:ascii="仿宋" w:hAnsi="仿宋" w:eastAsia="仿宋" w:cs="仿宋"/>
          <w:b/>
          <w:sz w:val="32"/>
        </w:rPr>
      </w:pPr>
      <w:r>
        <w:rPr>
          <w:rFonts w:hint="eastAsia" w:ascii="仿宋" w:hAnsi="仿宋" w:eastAsia="仿宋" w:cs="仿宋"/>
          <w:b/>
          <w:sz w:val="32"/>
        </w:rPr>
        <w:t>十二、其他应予说明的事项</w:t>
      </w:r>
    </w:p>
    <w:p w14:paraId="25696F64">
      <w:pPr>
        <w:pStyle w:val="12"/>
        <w:ind w:firstLine="420"/>
        <w:rPr>
          <w:rFonts w:ascii="仿宋" w:hAnsi="仿宋" w:eastAsia="仿宋" w:cs="仿宋"/>
          <w:sz w:val="28"/>
          <w:szCs w:val="28"/>
        </w:rPr>
      </w:pPr>
      <w:r>
        <w:rPr>
          <w:rFonts w:hint="eastAsia" w:ascii="仿宋" w:hAnsi="仿宋" w:eastAsia="仿宋" w:cs="仿宋"/>
          <w:sz w:val="28"/>
          <w:szCs w:val="28"/>
        </w:rPr>
        <w:t>无。</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wiss"/>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imes">
    <w:altName w:val="Times New Roman"/>
    <w:panose1 w:val="02020603050405020304"/>
    <w:charset w:val="00"/>
    <w:family w:val="roman"/>
    <w:pitch w:val="default"/>
    <w:sig w:usb0="00000000" w:usb1="00000000" w:usb2="00000009" w:usb3="00000000" w:csb0="000001FF" w:csb1="00000000"/>
  </w:font>
  <w:font w:name="HP Simplified Light">
    <w:altName w:val="Yu Gothic UI Semilight"/>
    <w:panose1 w:val="020B0406020204020204"/>
    <w:charset w:val="00"/>
    <w:family w:val="swiss"/>
    <w:pitch w:val="default"/>
    <w:sig w:usb0="00000000" w:usb1="00000000" w:usb2="00000000" w:usb3="00000000" w:csb0="20000093" w:csb1="00000000"/>
  </w:font>
  <w:font w:name="Yu Gothic UI Semilight">
    <w:panose1 w:val="020B0400000000000000"/>
    <w:charset w:val="80"/>
    <w:family w:val="auto"/>
    <w:pitch w:val="default"/>
    <w:sig w:usb0="E00002FF" w:usb1="2AC7FDFF" w:usb2="00000016" w:usb3="00000000" w:csb0="2002009F" w:csb1="00000000"/>
  </w:font>
  <w:font w:name="等线">
    <w:panose1 w:val="02010600030101010101"/>
    <w:charset w:val="86"/>
    <w:family w:val="auto"/>
    <w:pitch w:val="default"/>
    <w:sig w:usb0="A00002BF" w:usb1="38CF7CFA" w:usb2="00000016" w:usb3="00000000" w:csb0="0004000F" w:csb1="00000000"/>
  </w:font>
  <w:font w:name="方正仿宋_GBK">
    <w:altName w:val="微软雅黑"/>
    <w:panose1 w:val="00000000000000000000"/>
    <w:charset w:val="86"/>
    <w:family w:val="script"/>
    <w:pitch w:val="default"/>
    <w:sig w:usb0="00000000" w:usb1="00000000" w:usb2="00082016" w:usb3="00000000" w:csb0="0004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Segoe UI">
    <w:panose1 w:val="020B0502040204020203"/>
    <w:charset w:val="00"/>
    <w:family w:val="auto"/>
    <w:pitch w:val="default"/>
    <w:sig w:usb0="E4002EFF" w:usb1="C000E47F" w:usb2="00000009" w:usb3="00000000" w:csb0="200001FF" w:csb1="00000000"/>
  </w:font>
  <w:font w:name="Helvetica">
    <w:altName w:val="Arial"/>
    <w:panose1 w:val="020B0604020202020204"/>
    <w:charset w:val="00"/>
    <w:family w:val="swiss"/>
    <w:pitch w:val="default"/>
    <w:sig w:usb0="00000000" w:usb1="00000000" w:usb2="00000000" w:usb3="00000000" w:csb0="00000001" w:csb1="00000000"/>
  </w:font>
  <w:font w:name="Symbol">
    <w:panose1 w:val="05050102010706020507"/>
    <w:charset w:val="00"/>
    <w:family w:val="auto"/>
    <w:pitch w:val="default"/>
    <w:sig w:usb0="00000000" w:usb1="00000000" w:usb2="00000000" w:usb3="00000000" w:csb0="8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79DEF94"/>
    <w:multiLevelType w:val="multilevel"/>
    <w:tmpl w:val="879DEF94"/>
    <w:lvl w:ilvl="0" w:tentative="0">
      <w:start w:val="1"/>
      <w:numFmt w:val="decimal"/>
      <w:lvlText w:val="%1."/>
      <w:lvlJc w:val="left"/>
      <w:pPr>
        <w:ind w:left="425" w:hanging="425"/>
      </w:pPr>
      <w:rPr>
        <w:rFonts w:hint="default"/>
      </w:rPr>
    </w:lvl>
    <w:lvl w:ilvl="1" w:tentative="0">
      <w:start w:val="1"/>
      <w:numFmt w:val="decimal"/>
      <w:lvlText w:val="%1.%2."/>
      <w:lvlJc w:val="left"/>
      <w:pPr>
        <w:ind w:left="850" w:hanging="453"/>
      </w:pPr>
      <w:rPr>
        <w:rFonts w:hint="default"/>
      </w:rPr>
    </w:lvl>
    <w:lvl w:ilvl="2" w:tentative="0">
      <w:start w:val="1"/>
      <w:numFmt w:val="decimal"/>
      <w:lvlText w:val="%1.%2.%3."/>
      <w:lvlJc w:val="left"/>
      <w:pPr>
        <w:ind w:left="1508" w:hanging="708"/>
      </w:pPr>
      <w:rPr>
        <w:rFonts w:hint="default"/>
      </w:rPr>
    </w:lvl>
    <w:lvl w:ilvl="3" w:tentative="0">
      <w:start w:val="1"/>
      <w:numFmt w:val="decimal"/>
      <w:lvlText w:val="%1.%2.%3.%4."/>
      <w:lvlJc w:val="left"/>
      <w:pPr>
        <w:ind w:left="2053" w:hanging="853"/>
      </w:pPr>
      <w:rPr>
        <w:rFonts w:hint="default"/>
      </w:rPr>
    </w:lvl>
    <w:lvl w:ilvl="4" w:tentative="0">
      <w:start w:val="1"/>
      <w:numFmt w:val="decimal"/>
      <w:lvlText w:val="%1.%2.%3.%4.%5."/>
      <w:lvlJc w:val="left"/>
      <w:pPr>
        <w:ind w:left="2495" w:hanging="895"/>
      </w:pPr>
      <w:rPr>
        <w:rFonts w:hint="default"/>
      </w:rPr>
    </w:lvl>
    <w:lvl w:ilvl="5" w:tentative="0">
      <w:start w:val="1"/>
      <w:numFmt w:val="decimal"/>
      <w:lvlText w:val="%1.%2.%3.%4.%5.%6."/>
      <w:lvlJc w:val="left"/>
      <w:pPr>
        <w:ind w:left="3136" w:hanging="1136"/>
      </w:pPr>
      <w:rPr>
        <w:rFonts w:hint="default"/>
      </w:rPr>
    </w:lvl>
    <w:lvl w:ilvl="6" w:tentative="0">
      <w:start w:val="1"/>
      <w:numFmt w:val="decimal"/>
      <w:lvlText w:val="%1.%2.%3.%4.%5.%6.%7."/>
      <w:lvlJc w:val="left"/>
      <w:pPr>
        <w:ind w:left="3673" w:hanging="1273"/>
      </w:pPr>
      <w:rPr>
        <w:rFonts w:hint="default"/>
      </w:rPr>
    </w:lvl>
    <w:lvl w:ilvl="7" w:tentative="0">
      <w:start w:val="1"/>
      <w:numFmt w:val="decimal"/>
      <w:lvlText w:val="%1.%2.%3.%4.%5.%6.%7.%8."/>
      <w:lvlJc w:val="left"/>
      <w:pPr>
        <w:ind w:left="4218" w:hanging="1418"/>
      </w:pPr>
      <w:rPr>
        <w:rFonts w:hint="default"/>
      </w:rPr>
    </w:lvl>
    <w:lvl w:ilvl="8" w:tentative="0">
      <w:start w:val="1"/>
      <w:numFmt w:val="decimal"/>
      <w:lvlText w:val="%1.%2.%3.%4.%5.%6.%7.%8.%9."/>
      <w:lvlJc w:val="left"/>
      <w:pPr>
        <w:ind w:left="4648" w:hanging="1448"/>
      </w:pPr>
      <w:rPr>
        <w:rFonts w:hint="default"/>
      </w:rPr>
    </w:lvl>
  </w:abstractNum>
  <w:abstractNum w:abstractNumId="1">
    <w:nsid w:val="F0FB582B"/>
    <w:multiLevelType w:val="multilevel"/>
    <w:tmpl w:val="F0FB582B"/>
    <w:lvl w:ilvl="0" w:tentative="0">
      <w:start w:val="1"/>
      <w:numFmt w:val="decimal"/>
      <w:lvlText w:val="%1."/>
      <w:lvlJc w:val="left"/>
      <w:pPr>
        <w:ind w:left="425" w:hanging="425"/>
      </w:pPr>
      <w:rPr>
        <w:rFonts w:hint="default"/>
      </w:rPr>
    </w:lvl>
    <w:lvl w:ilvl="1" w:tentative="0">
      <w:start w:val="1"/>
      <w:numFmt w:val="decimal"/>
      <w:lvlText w:val="%1.%2."/>
      <w:lvlJc w:val="left"/>
      <w:pPr>
        <w:ind w:left="850" w:hanging="453"/>
      </w:pPr>
      <w:rPr>
        <w:rFonts w:hint="default"/>
      </w:rPr>
    </w:lvl>
    <w:lvl w:ilvl="2" w:tentative="0">
      <w:start w:val="1"/>
      <w:numFmt w:val="decimal"/>
      <w:lvlText w:val="%1.%2.%3."/>
      <w:lvlJc w:val="left"/>
      <w:pPr>
        <w:ind w:left="1508" w:hanging="708"/>
      </w:pPr>
      <w:rPr>
        <w:rFonts w:hint="default"/>
      </w:rPr>
    </w:lvl>
    <w:lvl w:ilvl="3" w:tentative="0">
      <w:start w:val="1"/>
      <w:numFmt w:val="decimal"/>
      <w:lvlText w:val="%1.%2.%3.%4."/>
      <w:lvlJc w:val="left"/>
      <w:pPr>
        <w:ind w:left="2053" w:hanging="853"/>
      </w:pPr>
      <w:rPr>
        <w:rFonts w:hint="default"/>
      </w:rPr>
    </w:lvl>
    <w:lvl w:ilvl="4" w:tentative="0">
      <w:start w:val="1"/>
      <w:numFmt w:val="decimal"/>
      <w:lvlText w:val="%1.%2.%3.%4.%5."/>
      <w:lvlJc w:val="left"/>
      <w:pPr>
        <w:ind w:left="2495" w:hanging="895"/>
      </w:pPr>
      <w:rPr>
        <w:rFonts w:hint="default"/>
      </w:rPr>
    </w:lvl>
    <w:lvl w:ilvl="5" w:tentative="0">
      <w:start w:val="1"/>
      <w:numFmt w:val="decimal"/>
      <w:lvlText w:val="%1.%2.%3.%4.%5.%6."/>
      <w:lvlJc w:val="left"/>
      <w:pPr>
        <w:ind w:left="3136" w:hanging="1136"/>
      </w:pPr>
      <w:rPr>
        <w:rFonts w:hint="default"/>
      </w:rPr>
    </w:lvl>
    <w:lvl w:ilvl="6" w:tentative="0">
      <w:start w:val="1"/>
      <w:numFmt w:val="decimal"/>
      <w:lvlText w:val="%1.%2.%3.%4.%5.%6.%7."/>
      <w:lvlJc w:val="left"/>
      <w:pPr>
        <w:ind w:left="3673" w:hanging="1273"/>
      </w:pPr>
      <w:rPr>
        <w:rFonts w:hint="default"/>
      </w:rPr>
    </w:lvl>
    <w:lvl w:ilvl="7" w:tentative="0">
      <w:start w:val="1"/>
      <w:numFmt w:val="decimal"/>
      <w:lvlText w:val="%1.%2.%3.%4.%5.%6.%7.%8."/>
      <w:lvlJc w:val="left"/>
      <w:pPr>
        <w:ind w:left="4218" w:hanging="1418"/>
      </w:pPr>
      <w:rPr>
        <w:rFonts w:hint="default"/>
      </w:rPr>
    </w:lvl>
    <w:lvl w:ilvl="8" w:tentative="0">
      <w:start w:val="1"/>
      <w:numFmt w:val="decimal"/>
      <w:lvlText w:val="%1.%2.%3.%4.%5.%6.%7.%8.%9."/>
      <w:lvlJc w:val="left"/>
      <w:pPr>
        <w:ind w:left="4648" w:hanging="1448"/>
      </w:pPr>
      <w:rPr>
        <w:rFonts w:hint="default"/>
      </w:rPr>
    </w:lvl>
  </w:abstractNum>
  <w:abstractNum w:abstractNumId="2">
    <w:nsid w:val="FAF178ED"/>
    <w:multiLevelType w:val="multilevel"/>
    <w:tmpl w:val="FAF178ED"/>
    <w:lvl w:ilvl="0" w:tentative="0">
      <w:start w:val="1"/>
      <w:numFmt w:val="decimal"/>
      <w:lvlText w:val="%1."/>
      <w:lvlJc w:val="left"/>
      <w:pPr>
        <w:ind w:left="425" w:hanging="425"/>
      </w:pPr>
      <w:rPr>
        <w:rFonts w:hint="default"/>
      </w:rPr>
    </w:lvl>
    <w:lvl w:ilvl="1" w:tentative="0">
      <w:start w:val="1"/>
      <w:numFmt w:val="decimal"/>
      <w:lvlText w:val="%1.%2."/>
      <w:lvlJc w:val="left"/>
      <w:pPr>
        <w:ind w:left="850" w:hanging="453"/>
      </w:pPr>
      <w:rPr>
        <w:rFonts w:hint="default"/>
      </w:rPr>
    </w:lvl>
    <w:lvl w:ilvl="2" w:tentative="0">
      <w:start w:val="1"/>
      <w:numFmt w:val="decimal"/>
      <w:lvlText w:val="%1.%2.%3."/>
      <w:lvlJc w:val="left"/>
      <w:pPr>
        <w:ind w:left="1508" w:hanging="708"/>
      </w:pPr>
      <w:rPr>
        <w:rFonts w:hint="default"/>
      </w:rPr>
    </w:lvl>
    <w:lvl w:ilvl="3" w:tentative="0">
      <w:start w:val="1"/>
      <w:numFmt w:val="decimal"/>
      <w:lvlText w:val="%1.%2.%3.%4."/>
      <w:lvlJc w:val="left"/>
      <w:pPr>
        <w:ind w:left="2053" w:hanging="853"/>
      </w:pPr>
      <w:rPr>
        <w:rFonts w:hint="default"/>
      </w:rPr>
    </w:lvl>
    <w:lvl w:ilvl="4" w:tentative="0">
      <w:start w:val="1"/>
      <w:numFmt w:val="decimal"/>
      <w:lvlText w:val="%1.%2.%3.%4.%5."/>
      <w:lvlJc w:val="left"/>
      <w:pPr>
        <w:ind w:left="2495" w:hanging="895"/>
      </w:pPr>
      <w:rPr>
        <w:rFonts w:hint="default"/>
      </w:rPr>
    </w:lvl>
    <w:lvl w:ilvl="5" w:tentative="0">
      <w:start w:val="1"/>
      <w:numFmt w:val="decimal"/>
      <w:lvlText w:val="%1.%2.%3.%4.%5.%6."/>
      <w:lvlJc w:val="left"/>
      <w:pPr>
        <w:ind w:left="3136" w:hanging="1136"/>
      </w:pPr>
      <w:rPr>
        <w:rFonts w:hint="default"/>
      </w:rPr>
    </w:lvl>
    <w:lvl w:ilvl="6" w:tentative="0">
      <w:start w:val="1"/>
      <w:numFmt w:val="decimal"/>
      <w:lvlText w:val="%1.%2.%3.%4.%5.%6.%7."/>
      <w:lvlJc w:val="left"/>
      <w:pPr>
        <w:ind w:left="3673" w:hanging="1273"/>
      </w:pPr>
      <w:rPr>
        <w:rFonts w:hint="default"/>
      </w:rPr>
    </w:lvl>
    <w:lvl w:ilvl="7" w:tentative="0">
      <w:start w:val="1"/>
      <w:numFmt w:val="decimal"/>
      <w:lvlText w:val="%1.%2.%3.%4.%5.%6.%7.%8."/>
      <w:lvlJc w:val="left"/>
      <w:pPr>
        <w:ind w:left="4218" w:hanging="1418"/>
      </w:pPr>
      <w:rPr>
        <w:rFonts w:hint="default"/>
      </w:rPr>
    </w:lvl>
    <w:lvl w:ilvl="8" w:tentative="0">
      <w:start w:val="1"/>
      <w:numFmt w:val="decimal"/>
      <w:lvlText w:val="%1.%2.%3.%4.%5.%6.%7.%8.%9."/>
      <w:lvlJc w:val="left"/>
      <w:pPr>
        <w:ind w:left="4648" w:hanging="1448"/>
      </w:pPr>
      <w:rPr>
        <w:rFonts w:hint="default"/>
      </w:rPr>
    </w:lvl>
  </w:abstractNum>
  <w:abstractNum w:abstractNumId="3">
    <w:nsid w:val="45D22746"/>
    <w:multiLevelType w:val="singleLevel"/>
    <w:tmpl w:val="45D22746"/>
    <w:lvl w:ilvl="0" w:tentative="0">
      <w:start w:val="1"/>
      <w:numFmt w:val="chineseCounting"/>
      <w:suff w:val="nothing"/>
      <w:lvlText w:val="%1、"/>
      <w:lvlJc w:val="left"/>
      <w:rPr>
        <w:rFonts w:hint="eastAsia"/>
      </w:rPr>
    </w:lvl>
  </w:abstractNum>
  <w:abstractNum w:abstractNumId="4">
    <w:nsid w:val="6CEA2025"/>
    <w:multiLevelType w:val="multilevel"/>
    <w:tmpl w:val="6CEA2025"/>
    <w:lvl w:ilvl="0" w:tentative="0">
      <w:start w:val="1"/>
      <w:numFmt w:val="none"/>
      <w:suff w:val="nothing"/>
      <w:lvlText w:val="%1"/>
      <w:lvlJc w:val="left"/>
      <w:pPr>
        <w:ind w:left="0" w:firstLine="0"/>
      </w:pPr>
      <w:rPr>
        <w:rFonts w:hint="eastAsia"/>
      </w:rPr>
    </w:lvl>
    <w:lvl w:ilvl="1" w:tentative="0">
      <w:start w:val="1"/>
      <w:numFmt w:val="decimal"/>
      <w:pStyle w:val="20"/>
      <w:suff w:val="nothing"/>
      <w:lvlText w:val="%1%2　"/>
      <w:lvlJc w:val="left"/>
      <w:pPr>
        <w:ind w:left="0" w:firstLine="0"/>
      </w:pPr>
      <w:rPr>
        <w:rFonts w:hint="eastAsia" w:ascii="黑体" w:eastAsia="黑体"/>
        <w:b w:val="0"/>
        <w:i w:val="0"/>
        <w:sz w:val="21"/>
      </w:rPr>
    </w:lvl>
    <w:lvl w:ilvl="2" w:tentative="0">
      <w:start w:val="1"/>
      <w:numFmt w:val="decimal"/>
      <w:pStyle w:val="19"/>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rPr>
    </w:lvl>
    <w:lvl w:ilvl="3" w:tentative="0">
      <w:start w:val="1"/>
      <w:numFmt w:val="decimal"/>
      <w:suff w:val="nothing"/>
      <w:lvlText w:val="%1%2.%3.%4　"/>
      <w:lvlJc w:val="left"/>
      <w:pPr>
        <w:ind w:left="0" w:firstLine="0"/>
      </w:pPr>
      <w:rPr>
        <w:rFonts w:hint="eastAsia" w:ascii="黑体" w:eastAsia="黑体"/>
        <w:b w:val="0"/>
        <w:i w:val="0"/>
        <w:sz w:val="21"/>
      </w:rPr>
    </w:lvl>
    <w:lvl w:ilvl="4" w:tentative="0">
      <w:start w:val="1"/>
      <w:numFmt w:val="decimal"/>
      <w:suff w:val="nothing"/>
      <w:lvlText w:val="%1%2.%3.%4.%5　"/>
      <w:lvlJc w:val="left"/>
      <w:pPr>
        <w:ind w:left="0" w:firstLine="0"/>
      </w:pPr>
      <w:rPr>
        <w:rFonts w:hint="eastAsia" w:ascii="黑体" w:eastAsia="黑体"/>
        <w:b w:val="0"/>
        <w:i w:val="0"/>
        <w:sz w:val="21"/>
      </w:rPr>
    </w:lvl>
    <w:lvl w:ilvl="5" w:tentative="0">
      <w:start w:val="1"/>
      <w:numFmt w:val="decimal"/>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num w:numId="1">
    <w:abstractNumId w:val="4"/>
  </w:num>
  <w:num w:numId="2">
    <w:abstractNumId w:val="3"/>
  </w:num>
  <w:num w:numId="3">
    <w:abstractNumId w:val="1"/>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E1NDBhYjc4NDdlNjIwZjM5ZTE1ZjA0NjU5NDY4MWEifQ=="/>
  </w:docVars>
  <w:rsids>
    <w:rsidRoot w:val="00F53EAD"/>
    <w:rsid w:val="00022464"/>
    <w:rsid w:val="00060C3F"/>
    <w:rsid w:val="001032AE"/>
    <w:rsid w:val="00181B33"/>
    <w:rsid w:val="00182089"/>
    <w:rsid w:val="00192F4C"/>
    <w:rsid w:val="002B5D45"/>
    <w:rsid w:val="002C0BF8"/>
    <w:rsid w:val="00315FBE"/>
    <w:rsid w:val="003456C3"/>
    <w:rsid w:val="003B4A3E"/>
    <w:rsid w:val="003D2FAD"/>
    <w:rsid w:val="003F128A"/>
    <w:rsid w:val="00427B2A"/>
    <w:rsid w:val="00447AD9"/>
    <w:rsid w:val="004C05EC"/>
    <w:rsid w:val="005410A0"/>
    <w:rsid w:val="005F41F4"/>
    <w:rsid w:val="00635F9D"/>
    <w:rsid w:val="0063665C"/>
    <w:rsid w:val="00646D27"/>
    <w:rsid w:val="00735EBF"/>
    <w:rsid w:val="007559B6"/>
    <w:rsid w:val="007C4246"/>
    <w:rsid w:val="00872329"/>
    <w:rsid w:val="008B7FFE"/>
    <w:rsid w:val="008F11AB"/>
    <w:rsid w:val="00944FF1"/>
    <w:rsid w:val="0099587C"/>
    <w:rsid w:val="00A42D7F"/>
    <w:rsid w:val="00B14B71"/>
    <w:rsid w:val="00B933A1"/>
    <w:rsid w:val="00C17C00"/>
    <w:rsid w:val="00C5335D"/>
    <w:rsid w:val="00E608BE"/>
    <w:rsid w:val="00E9141E"/>
    <w:rsid w:val="00EF5932"/>
    <w:rsid w:val="00F53EAD"/>
    <w:rsid w:val="00F67196"/>
    <w:rsid w:val="00FB09D8"/>
    <w:rsid w:val="00FC03F7"/>
    <w:rsid w:val="03A25C51"/>
    <w:rsid w:val="05904C96"/>
    <w:rsid w:val="08316AA1"/>
    <w:rsid w:val="0A145F7E"/>
    <w:rsid w:val="11E42D5C"/>
    <w:rsid w:val="1C7525F8"/>
    <w:rsid w:val="1F1A7043"/>
    <w:rsid w:val="2DAB181D"/>
    <w:rsid w:val="2F424109"/>
    <w:rsid w:val="372E029D"/>
    <w:rsid w:val="43F9205F"/>
    <w:rsid w:val="4E01185A"/>
    <w:rsid w:val="5A530014"/>
    <w:rsid w:val="5C7252DD"/>
    <w:rsid w:val="5CC72E98"/>
    <w:rsid w:val="6970568E"/>
    <w:rsid w:val="74DB4AE8"/>
    <w:rsid w:val="770F61CF"/>
    <w:rsid w:val="7A657C5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3"/>
    <w:basedOn w:val="1"/>
    <w:next w:val="1"/>
    <w:unhideWhenUsed/>
    <w:qFormat/>
    <w:uiPriority w:val="0"/>
    <w:pPr>
      <w:keepNext/>
      <w:keepLines/>
      <w:spacing w:before="260" w:after="260" w:line="413" w:lineRule="auto"/>
      <w:outlineLvl w:val="2"/>
    </w:pPr>
    <w:rPr>
      <w:b/>
      <w:sz w:val="32"/>
    </w:rPr>
  </w:style>
  <w:style w:type="paragraph" w:styleId="3">
    <w:name w:val="heading 4"/>
    <w:basedOn w:val="1"/>
    <w:next w:val="1"/>
    <w:unhideWhenUsed/>
    <w:qFormat/>
    <w:uiPriority w:val="0"/>
    <w:pPr>
      <w:keepNext/>
      <w:keepLines/>
      <w:spacing w:before="280" w:after="290" w:line="372" w:lineRule="auto"/>
      <w:outlineLvl w:val="3"/>
    </w:pPr>
    <w:rPr>
      <w:rFonts w:ascii="Arial" w:hAnsi="Arial" w:eastAsia="黑体"/>
      <w:b/>
      <w:sz w:val="28"/>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4">
    <w:name w:val="annotation text"/>
    <w:basedOn w:val="1"/>
    <w:qFormat/>
    <w:uiPriority w:val="0"/>
    <w:pPr>
      <w:jc w:val="left"/>
    </w:pPr>
  </w:style>
  <w:style w:type="paragraph" w:styleId="5">
    <w:name w:val="footer"/>
    <w:basedOn w:val="1"/>
    <w:link w:val="17"/>
    <w:qFormat/>
    <w:uiPriority w:val="0"/>
    <w:pPr>
      <w:tabs>
        <w:tab w:val="center" w:pos="4153"/>
        <w:tab w:val="right" w:pos="8306"/>
      </w:tabs>
      <w:snapToGrid w:val="0"/>
      <w:jc w:val="left"/>
    </w:pPr>
    <w:rPr>
      <w:sz w:val="18"/>
      <w:szCs w:val="18"/>
    </w:rPr>
  </w:style>
  <w:style w:type="paragraph" w:styleId="6">
    <w:name w:val="header"/>
    <w:basedOn w:val="1"/>
    <w:link w:val="16"/>
    <w:qFormat/>
    <w:uiPriority w:val="0"/>
    <w:pPr>
      <w:tabs>
        <w:tab w:val="center" w:pos="4153"/>
        <w:tab w:val="right" w:pos="8306"/>
      </w:tabs>
      <w:snapToGrid w:val="0"/>
      <w:jc w:val="center"/>
    </w:pPr>
    <w:rPr>
      <w:sz w:val="18"/>
      <w:szCs w:val="18"/>
    </w:rPr>
  </w:style>
  <w:style w:type="paragraph" w:styleId="7">
    <w:name w:val="Normal (Web)"/>
    <w:basedOn w:val="1"/>
    <w:unhideWhenUsed/>
    <w:qFormat/>
    <w:uiPriority w:val="99"/>
    <w:rPr>
      <w:sz w:val="24"/>
    </w:rPr>
  </w:style>
  <w:style w:type="character" w:styleId="10">
    <w:name w:val="Strong"/>
    <w:basedOn w:val="9"/>
    <w:qFormat/>
    <w:uiPriority w:val="0"/>
    <w:rPr>
      <w:b/>
    </w:rPr>
  </w:style>
  <w:style w:type="paragraph" w:customStyle="1" w:styleId="11">
    <w:name w:val="列表段落1"/>
    <w:basedOn w:val="1"/>
    <w:qFormat/>
    <w:uiPriority w:val="0"/>
    <w:pPr>
      <w:widowControl w:val="0"/>
      <w:ind w:firstLine="420" w:firstLineChars="200"/>
      <w:jc w:val="both"/>
    </w:pPr>
    <w:rPr>
      <w:rFonts w:ascii="HP Simplified Light" w:hAnsi="HP Simplified Light"/>
      <w:kern w:val="2"/>
      <w:sz w:val="21"/>
    </w:rPr>
  </w:style>
  <w:style w:type="paragraph" w:customStyle="1" w:styleId="12">
    <w:name w:val="样式1"/>
    <w:basedOn w:val="1"/>
    <w:qFormat/>
    <w:uiPriority w:val="0"/>
    <w:rPr>
      <w:rFonts w:ascii="等线" w:hAnsi="等线" w:eastAsia="等线" w:cs="宋体"/>
      <w:sz w:val="24"/>
    </w:rPr>
  </w:style>
  <w:style w:type="paragraph" w:customStyle="1" w:styleId="13">
    <w:name w:val="封面标准英文名称"/>
    <w:qFormat/>
    <w:uiPriority w:val="0"/>
    <w:pPr>
      <w:widowControl w:val="0"/>
      <w:spacing w:before="370" w:line="400" w:lineRule="exact"/>
      <w:jc w:val="center"/>
    </w:pPr>
    <w:rPr>
      <w:rFonts w:ascii="Times New Roman" w:hAnsi="Times New Roman" w:eastAsia="宋体" w:cs="Times New Roman"/>
      <w:sz w:val="28"/>
      <w:lang w:val="en-US" w:eastAsia="zh-CN" w:bidi="ar-SA"/>
    </w:rPr>
  </w:style>
  <w:style w:type="table" w:customStyle="1" w:styleId="14">
    <w:name w:val="Table Normal"/>
    <w:semiHidden/>
    <w:unhideWhenUsed/>
    <w:qFormat/>
    <w:uiPriority w:val="0"/>
    <w:tblPr>
      <w:tblCellMar>
        <w:top w:w="0" w:type="dxa"/>
        <w:left w:w="0" w:type="dxa"/>
        <w:bottom w:w="0" w:type="dxa"/>
        <w:right w:w="0" w:type="dxa"/>
      </w:tblCellMar>
    </w:tblPr>
  </w:style>
  <w:style w:type="paragraph" w:customStyle="1" w:styleId="15">
    <w:name w:val="调控-正文"/>
    <w:basedOn w:val="1"/>
    <w:qFormat/>
    <w:uiPriority w:val="0"/>
    <w:pPr>
      <w:spacing w:beforeLines="50" w:afterLines="50" w:line="560" w:lineRule="exact"/>
      <w:ind w:firstLine="200" w:firstLineChars="200"/>
    </w:pPr>
    <w:rPr>
      <w:rFonts w:ascii="方正仿宋_GBK" w:eastAsia="仿宋"/>
      <w:sz w:val="30"/>
    </w:rPr>
  </w:style>
  <w:style w:type="character" w:customStyle="1" w:styleId="16">
    <w:name w:val="页眉 字符"/>
    <w:basedOn w:val="9"/>
    <w:link w:val="6"/>
    <w:qFormat/>
    <w:uiPriority w:val="0"/>
    <w:rPr>
      <w:kern w:val="2"/>
      <w:sz w:val="18"/>
      <w:szCs w:val="18"/>
    </w:rPr>
  </w:style>
  <w:style w:type="character" w:customStyle="1" w:styleId="17">
    <w:name w:val="页脚 字符"/>
    <w:basedOn w:val="9"/>
    <w:link w:val="5"/>
    <w:qFormat/>
    <w:uiPriority w:val="0"/>
    <w:rPr>
      <w:kern w:val="2"/>
      <w:sz w:val="18"/>
      <w:szCs w:val="18"/>
    </w:rPr>
  </w:style>
  <w:style w:type="paragraph" w:styleId="18">
    <w:name w:val="List Paragraph"/>
    <w:basedOn w:val="1"/>
    <w:qFormat/>
    <w:uiPriority w:val="99"/>
    <w:pPr>
      <w:ind w:firstLine="420" w:firstLineChars="200"/>
    </w:pPr>
  </w:style>
  <w:style w:type="paragraph" w:customStyle="1" w:styleId="19">
    <w:name w:val="标准文件_一级条标题"/>
    <w:basedOn w:val="20"/>
    <w:next w:val="21"/>
    <w:qFormat/>
    <w:uiPriority w:val="0"/>
    <w:pPr>
      <w:numPr>
        <w:ilvl w:val="2"/>
      </w:numPr>
      <w:spacing w:before="50" w:beforeLines="50" w:after="50" w:afterLines="50"/>
      <w:outlineLvl w:val="1"/>
    </w:pPr>
  </w:style>
  <w:style w:type="paragraph" w:customStyle="1" w:styleId="20">
    <w:name w:val="标准文件_章标题"/>
    <w:next w:val="21"/>
    <w:qFormat/>
    <w:uiPriority w:val="0"/>
    <w:pPr>
      <w:numPr>
        <w:ilvl w:val="1"/>
        <w:numId w:val="1"/>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21">
    <w:name w:val="标准文件_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character" w:styleId="22">
    <w:name w:val="Placeholder Text"/>
    <w:basedOn w:val="9"/>
    <w:semiHidden/>
    <w:qFormat/>
    <w:uiPriority w:val="99"/>
    <w:rPr>
      <w:color w:val="808080"/>
    </w:rPr>
  </w:style>
  <w:style w:type="paragraph" w:customStyle="1" w:styleId="23">
    <w:name w:val="章标题"/>
    <w:next w:val="1"/>
    <w:qFormat/>
    <w:uiPriority w:val="0"/>
    <w:pPr>
      <w:spacing w:beforeLines="100" w:afterLines="100"/>
      <w:jc w:val="both"/>
      <w:outlineLvl w:val="1"/>
    </w:pPr>
    <w:rPr>
      <w:rFonts w:ascii="黑体" w:hAnsi="Times New Roman" w:eastAsia="黑体" w:cs="Times New Roman"/>
      <w:sz w:val="21"/>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20</Pages>
  <Words>5486</Words>
  <Characters>6193</Characters>
  <Lines>18</Lines>
  <Paragraphs>5</Paragraphs>
  <TotalTime>17</TotalTime>
  <ScaleCrop>false</ScaleCrop>
  <LinksUpToDate>false</LinksUpToDate>
  <CharactersWithSpaces>6252</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2022-12-16T03:56:00Z</dcterms:created>
  <dc:creator>Administrator</dc:creator>
  <cp:lastModifiedBy>sweet trouble</cp:lastModifiedBy>
  <dcterms:modified xsi:type="dcterms:W3CDTF">2025-02-11T10:26:46Z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CDE7AC2BD2154EFE9BFA6EC1E3FAA70B_13</vt:lpwstr>
  </property>
  <property fmtid="{D5CDD505-2E9C-101B-9397-08002B2CF9AE}" pid="4" name="KSOTemplateDocerSaveRecord">
    <vt:lpwstr>eyJoZGlkIjoiMGE1NDBhYjc4NDdlNjIwZjM5ZTE1ZjA0NjU5NDY4MWEiLCJ1c2VySWQiOiI0MjI5NzUyNjEifQ==</vt:lpwstr>
  </property>
</Properties>
</file>