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163954">
      <w:pPr>
        <w:spacing w:line="360" w:lineRule="auto"/>
        <w:rPr>
          <w:rFonts w:hint="eastAsia" w:ascii="黑体" w:hAnsi="黑体" w:eastAsia="黑体"/>
          <w:kern w:val="0"/>
          <w:sz w:val="28"/>
          <w:szCs w:val="28"/>
        </w:rPr>
      </w:pPr>
      <w:r>
        <w:rPr>
          <w:rFonts w:ascii="黑体" w:hAnsi="黑体" w:eastAsia="黑体"/>
          <w:kern w:val="0"/>
        </w:rPr>
        <mc:AlternateContent>
          <mc:Choice Requires="wps">
            <w:drawing>
              <wp:anchor distT="0" distB="0" distL="114300" distR="114300" simplePos="0" relativeHeight="251662336" behindDoc="0" locked="0" layoutInCell="1" allowOverlap="1">
                <wp:simplePos x="0" y="0"/>
                <wp:positionH relativeFrom="column">
                  <wp:posOffset>100965</wp:posOffset>
                </wp:positionH>
                <wp:positionV relativeFrom="paragraph">
                  <wp:posOffset>90170</wp:posOffset>
                </wp:positionV>
                <wp:extent cx="2097405" cy="428625"/>
                <wp:effectExtent l="0" t="0" r="508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097405" cy="428625"/>
                        </a:xfrm>
                        <a:prstGeom prst="rect">
                          <a:avLst/>
                        </a:prstGeom>
                        <a:solidFill>
                          <a:srgbClr val="FFFFFF"/>
                        </a:solidFill>
                        <a:ln w="9525">
                          <a:solidFill>
                            <a:sysClr val="window" lastClr="FFFFFF">
                              <a:lumMod val="100000"/>
                              <a:lumOff val="0"/>
                            </a:sysClr>
                          </a:solidFill>
                          <a:miter lim="800000"/>
                        </a:ln>
                      </wps:spPr>
                      <wps:txbx>
                        <w:txbxContent>
                          <w:p w14:paraId="26FF501B">
                            <w:pPr>
                              <w:spacing w:line="300" w:lineRule="auto"/>
                              <w:rPr>
                                <w:rFonts w:hint="eastAsia" w:ascii="黑体" w:hAnsi="黑体" w:eastAsia="黑体" w:cs="黑体"/>
                                <w:szCs w:val="21"/>
                              </w:rPr>
                            </w:pPr>
                            <w:r>
                              <w:rPr>
                                <w:rFonts w:hint="eastAsia" w:ascii="黑体" w:hAnsi="黑体" w:eastAsia="黑体" w:cs="黑体"/>
                                <w:szCs w:val="21"/>
                              </w:rPr>
                              <w:t>ICS xxx</w:t>
                            </w:r>
                          </w:p>
                          <w:p w14:paraId="2BB0E863">
                            <w:pPr>
                              <w:autoSpaceDE w:val="0"/>
                              <w:autoSpaceDN w:val="0"/>
                              <w:adjustRightInd w:val="0"/>
                              <w:snapToGrid w:val="0"/>
                              <w:spacing w:line="300" w:lineRule="auto"/>
                              <w:jc w:val="left"/>
                              <w:rPr>
                                <w:rFonts w:hint="eastAsia" w:ascii="黑体" w:hAnsi="黑体" w:eastAsia="黑体" w:cs="黑体"/>
                                <w:kern w:val="0"/>
                                <w:szCs w:val="21"/>
                              </w:rPr>
                            </w:pPr>
                            <w:r>
                              <w:rPr>
                                <w:rFonts w:hint="eastAsia" w:ascii="黑体" w:hAnsi="黑体" w:eastAsia="黑体" w:cs="黑体"/>
                                <w:kern w:val="0"/>
                                <w:szCs w:val="21"/>
                              </w:rPr>
                              <w:t>CCS Y xx</w:t>
                            </w:r>
                          </w:p>
                        </w:txbxContent>
                      </wps:txbx>
                      <wps:bodyPr rot="0" vert="horz" wrap="square" lIns="91440" tIns="45720" rIns="91440" bIns="45720" anchor="t" anchorCtr="0" upright="1">
                        <a:spAutoFit/>
                      </wps:bodyPr>
                    </wps:wsp>
                  </a:graphicData>
                </a:graphic>
              </wp:anchor>
            </w:drawing>
          </mc:Choice>
          <mc:Fallback>
            <w:pict>
              <v:shape id="_x0000_s1026" o:spid="_x0000_s1026" o:spt="202" type="#_x0000_t202" style="position:absolute;left:0pt;margin-left:7.95pt;margin-top:7.1pt;height:33.75pt;width:165.15pt;z-index:251662336;mso-width-relative:page;mso-height-relative:page;" fillcolor="#FFFFFF" filled="t" stroked="t" coordsize="21600,21600" o:gfxdata="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EEs5fbYAAAACAEAAA8AAAAAAAAAAQAgAAAAIgAAAGRycy9kb3ducmV2LnhtbFBLAQIU&#10;ABQAAAAIAIdO4kANO4frZQIAAMwEAAAOAAAAAAAAAAEAIAAAACcBAABkcnMvZTJvRG9jLnhtbFBL&#10;BQYAAAAABgAGAFkBAAD+BQAAAAA=&#10;">
                <v:fill on="t" focussize="0,0"/>
                <v:stroke color="#FFFFFF" miterlimit="8" joinstyle="miter"/>
                <v:imagedata o:title=""/>
                <o:lock v:ext="edit" aspectratio="f"/>
                <v:textbox style="mso-fit-shape-to-text:t;">
                  <w:txbxContent>
                    <w:p w14:paraId="26FF501B">
                      <w:pPr>
                        <w:spacing w:line="300" w:lineRule="auto"/>
                        <w:rPr>
                          <w:rFonts w:hint="eastAsia" w:ascii="黑体" w:hAnsi="黑体" w:eastAsia="黑体" w:cs="黑体"/>
                          <w:szCs w:val="21"/>
                        </w:rPr>
                      </w:pPr>
                      <w:r>
                        <w:rPr>
                          <w:rFonts w:hint="eastAsia" w:ascii="黑体" w:hAnsi="黑体" w:eastAsia="黑体" w:cs="黑体"/>
                          <w:szCs w:val="21"/>
                        </w:rPr>
                        <w:t>ICS xxx</w:t>
                      </w:r>
                    </w:p>
                    <w:p w14:paraId="2BB0E863">
                      <w:pPr>
                        <w:autoSpaceDE w:val="0"/>
                        <w:autoSpaceDN w:val="0"/>
                        <w:adjustRightInd w:val="0"/>
                        <w:snapToGrid w:val="0"/>
                        <w:spacing w:line="300" w:lineRule="auto"/>
                        <w:jc w:val="left"/>
                        <w:rPr>
                          <w:rFonts w:hint="eastAsia" w:ascii="黑体" w:hAnsi="黑体" w:eastAsia="黑体" w:cs="黑体"/>
                          <w:kern w:val="0"/>
                          <w:szCs w:val="21"/>
                        </w:rPr>
                      </w:pPr>
                      <w:r>
                        <w:rPr>
                          <w:rFonts w:hint="eastAsia" w:ascii="黑体" w:hAnsi="黑体" w:eastAsia="黑体" w:cs="黑体"/>
                          <w:kern w:val="0"/>
                          <w:szCs w:val="21"/>
                        </w:rPr>
                        <w:t>CCS Y xx</w:t>
                      </w:r>
                    </w:p>
                  </w:txbxContent>
                </v:textbox>
              </v:shape>
            </w:pict>
          </mc:Fallback>
        </mc:AlternateContent>
      </w:r>
    </w:p>
    <w:p w14:paraId="56A2055C">
      <w:pPr>
        <w:spacing w:line="360" w:lineRule="auto"/>
        <w:ind w:firstLine="420" w:firstLineChars="200"/>
        <w:rPr>
          <w:kern w:val="0"/>
        </w:rPr>
      </w:pPr>
    </w:p>
    <w:p w14:paraId="20B47CF4">
      <w:pPr>
        <w:rPr>
          <w:kern w:val="0"/>
          <w:sz w:val="28"/>
          <w:szCs w:val="28"/>
        </w:rPr>
      </w:pPr>
    </w:p>
    <w:p w14:paraId="472A7103">
      <w:pPr>
        <w:jc w:val="center"/>
        <w:rPr>
          <w:rFonts w:hint="eastAsia" w:ascii="黑体" w:hAnsi="黑体" w:eastAsia="黑体"/>
          <w:kern w:val="0"/>
          <w:sz w:val="84"/>
          <w:szCs w:val="84"/>
        </w:rPr>
      </w:pPr>
      <w:r>
        <w:rPr>
          <w:rFonts w:hint="eastAsia" w:ascii="黑体" w:hAnsi="黑体" w:eastAsia="黑体"/>
          <w:kern w:val="0"/>
          <w:sz w:val="84"/>
          <w:szCs w:val="84"/>
        </w:rPr>
        <w:t>团   体   标   准</w:t>
      </w:r>
    </w:p>
    <w:p w14:paraId="423E47CC">
      <w:pPr>
        <w:ind w:right="-1050" w:rightChars="-500"/>
        <w:jc w:val="right"/>
        <w:rPr>
          <w:rFonts w:hint="eastAsia" w:ascii="黑体" w:hAnsi="黑体" w:eastAsia="黑体"/>
          <w:b/>
          <w:kern w:val="0"/>
          <w:sz w:val="28"/>
          <w:szCs w:val="28"/>
        </w:rPr>
      </w:pPr>
      <w:r>
        <w:rPr>
          <w:rFonts w:ascii="黑体" w:hAnsi="黑体" w:eastAsia="黑体"/>
          <w:kern w:val="0"/>
          <w:sz w:val="28"/>
          <w:szCs w:val="28"/>
        </w:rPr>
        <mc:AlternateContent>
          <mc:Choice Requires="wps">
            <w:drawing>
              <wp:anchor distT="0" distB="0" distL="114300" distR="114300" simplePos="0" relativeHeight="251660288" behindDoc="0" locked="0" layoutInCell="1" allowOverlap="1">
                <wp:simplePos x="0" y="0"/>
                <wp:positionH relativeFrom="column">
                  <wp:posOffset>-183515</wp:posOffset>
                </wp:positionH>
                <wp:positionV relativeFrom="paragraph">
                  <wp:posOffset>414020</wp:posOffset>
                </wp:positionV>
                <wp:extent cx="6098540" cy="0"/>
                <wp:effectExtent l="0" t="0" r="0" b="0"/>
                <wp:wrapNone/>
                <wp:docPr id="4" name="AutoShape 2"/>
                <wp:cNvGraphicFramePr/>
                <a:graphic xmlns:a="http://schemas.openxmlformats.org/drawingml/2006/main">
                  <a:graphicData uri="http://schemas.microsoft.com/office/word/2010/wordprocessingShape">
                    <wps:wsp>
                      <wps:cNvCnPr>
                        <a:cxnSpLocks noChangeShapeType="1"/>
                      </wps:cNvCnPr>
                      <wps:spPr bwMode="auto">
                        <a:xfrm>
                          <a:off x="0" y="0"/>
                          <a:ext cx="6098540" cy="0"/>
                        </a:xfrm>
                        <a:prstGeom prst="straightConnector1">
                          <a:avLst/>
                        </a:prstGeom>
                        <a:noFill/>
                        <a:ln w="9525">
                          <a:solidFill>
                            <a:srgbClr val="000000"/>
                          </a:solidFill>
                          <a:round/>
                        </a:ln>
                      </wps:spPr>
                      <wps:bodyPr/>
                    </wps:wsp>
                  </a:graphicData>
                </a:graphic>
              </wp:anchor>
            </w:drawing>
          </mc:Choice>
          <mc:Fallback>
            <w:pict>
              <v:shape id="AutoShape 2" o:spid="_x0000_s1026" o:spt="32" type="#_x0000_t32" style="position:absolute;left:0pt;margin-left:-14.45pt;margin-top:32.6pt;height:0pt;width:480.2pt;z-index:251660288;mso-width-relative:page;mso-height-relative:page;" filled="f" stroked="t" coordsize="21600,21600" o:gfxdata="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KIrGK9cAAAAJAQAADwAAAAAAAAABACAA&#10;AAAiAAAAZHJzL2Rvd25yZXYueG1sUEsBAhQAFAAAAAgAh07iQNhEjBvVAQAAsgMAAA4AAAAAAAAA&#10;AQAgAAAAJgEAAGRycy9lMm9Eb2MueG1sUEsFBgAAAAAGAAYAWQEAAG0FAAAAAA==&#10;">
                <v:fill on="f" focussize="0,0"/>
                <v:stroke color="#000000" joinstyle="round"/>
                <v:imagedata o:title=""/>
                <o:lock v:ext="edit" aspectratio="f"/>
              </v:shape>
            </w:pict>
          </mc:Fallback>
        </mc:AlternateContent>
      </w:r>
      <w:r>
        <w:rPr>
          <w:rFonts w:hint="eastAsia" w:ascii="黑体" w:hAnsi="黑体" w:eastAsia="黑体"/>
          <w:b/>
          <w:kern w:val="0"/>
          <w:sz w:val="28"/>
          <w:szCs w:val="28"/>
        </w:rPr>
        <w:t>T/</w:t>
      </w:r>
      <w:r>
        <w:rPr>
          <w:rFonts w:ascii="黑体" w:hAnsi="黑体" w:eastAsia="黑体"/>
          <w:b/>
          <w:kern w:val="0"/>
          <w:sz w:val="28"/>
          <w:szCs w:val="28"/>
        </w:rPr>
        <w:t>EES</w:t>
      </w:r>
      <w:r>
        <w:rPr>
          <w:rFonts w:hint="eastAsia" w:ascii="黑体" w:hAnsi="黑体" w:eastAsia="黑体"/>
          <w:b/>
          <w:kern w:val="0"/>
          <w:sz w:val="28"/>
          <w:szCs w:val="28"/>
        </w:rPr>
        <w:t xml:space="preserve"> xxx—xxxx</w:t>
      </w:r>
    </w:p>
    <w:p w14:paraId="6A55306D">
      <w:pPr>
        <w:rPr>
          <w:kern w:val="0"/>
        </w:rPr>
      </w:pPr>
    </w:p>
    <w:p w14:paraId="612FC533">
      <w:pPr>
        <w:rPr>
          <w:kern w:val="0"/>
        </w:rPr>
      </w:pPr>
    </w:p>
    <w:p w14:paraId="00AD1C2F">
      <w:pPr>
        <w:rPr>
          <w:kern w:val="0"/>
        </w:rPr>
      </w:pPr>
    </w:p>
    <w:p w14:paraId="0C1EE4B6">
      <w:pPr>
        <w:rPr>
          <w:kern w:val="0"/>
        </w:rPr>
      </w:pPr>
    </w:p>
    <w:p w14:paraId="1838BEFC">
      <w:pPr>
        <w:rPr>
          <w:kern w:val="0"/>
        </w:rPr>
      </w:pPr>
    </w:p>
    <w:p w14:paraId="5403969C">
      <w:pPr>
        <w:rPr>
          <w:kern w:val="0"/>
        </w:rPr>
      </w:pPr>
    </w:p>
    <w:p w14:paraId="28B5C4B0">
      <w:pPr>
        <w:pStyle w:val="15"/>
        <w:framePr w:w="9639" w:h="4061" w:hRule="exact" w:wrap="around" w:vAnchor="page" w:hAnchor="page" w:x="1401" w:y="7561" w:anchorLock="1"/>
        <w:rPr>
          <w:rFonts w:hint="eastAsia" w:hAnsi="黑体"/>
          <w:bCs/>
          <w:kern w:val="2"/>
          <w:szCs w:val="52"/>
        </w:rPr>
      </w:pPr>
      <w:r>
        <w:rPr>
          <w:rFonts w:hAnsi="黑体"/>
          <w:bCs/>
          <w:kern w:val="2"/>
          <w:szCs w:val="52"/>
        </w:rPr>
        <w:t>工业企业能碳管控中心</w:t>
      </w:r>
      <w:r>
        <w:rPr>
          <w:rFonts w:hint="eastAsia" w:hAnsi="黑体"/>
          <w:bCs/>
          <w:kern w:val="2"/>
          <w:szCs w:val="52"/>
        </w:rPr>
        <w:t>建设指南</w:t>
      </w:r>
    </w:p>
    <w:p w14:paraId="60476635">
      <w:pPr>
        <w:pStyle w:val="15"/>
        <w:framePr w:w="9639" w:h="4061" w:hRule="exact" w:wrap="around" w:vAnchor="page" w:hAnchor="page" w:x="1401" w:y="7561" w:anchorLock="1"/>
        <w:rPr>
          <w:rFonts w:hint="eastAsia" w:hAnsi="黑体"/>
          <w:bCs/>
          <w:kern w:val="2"/>
          <w:szCs w:val="52"/>
        </w:rPr>
      </w:pPr>
    </w:p>
    <w:p w14:paraId="2E28EA07">
      <w:pPr>
        <w:framePr w:w="9639" w:h="4061" w:hRule="exact" w:wrap="around" w:vAnchor="page" w:hAnchor="page" w:x="1401" w:y="7561" w:anchorLock="1"/>
        <w:spacing w:before="156" w:beforeLines="50" w:line="360" w:lineRule="exact"/>
        <w:jc w:val="center"/>
        <w:rPr>
          <w:rFonts w:hint="eastAsia" w:ascii="黑体" w:hAnsi="黑体" w:eastAsia="黑体"/>
          <w:kern w:val="0"/>
          <w:sz w:val="28"/>
          <w:szCs w:val="28"/>
          <w:shd w:val="clear" w:color="auto" w:fill="FFFFFF"/>
        </w:rPr>
      </w:pPr>
      <w:r>
        <w:rPr>
          <w:rFonts w:hint="eastAsia" w:ascii="黑体" w:hAnsi="黑体" w:eastAsia="黑体"/>
          <w:kern w:val="0"/>
          <w:sz w:val="28"/>
          <w:szCs w:val="28"/>
          <w:shd w:val="clear" w:color="auto" w:fill="FFFFFF"/>
        </w:rPr>
        <w:t>Guidelines</w:t>
      </w:r>
      <w:r>
        <w:rPr>
          <w:rFonts w:ascii="黑体" w:hAnsi="黑体" w:eastAsia="黑体"/>
          <w:kern w:val="0"/>
          <w:sz w:val="28"/>
          <w:szCs w:val="28"/>
          <w:shd w:val="clear" w:color="auto" w:fill="FFFFFF"/>
        </w:rPr>
        <w:t xml:space="preserve"> for Industrial Enterprise Energy and Carbon Management Control Center</w:t>
      </w:r>
    </w:p>
    <w:p w14:paraId="72A6E229">
      <w:pPr>
        <w:framePr w:w="9639" w:h="4061" w:hRule="exact" w:wrap="around" w:vAnchor="page" w:hAnchor="page" w:x="1401" w:y="7561" w:anchorLock="1"/>
        <w:spacing w:before="156" w:beforeLines="50" w:line="360" w:lineRule="exact"/>
        <w:jc w:val="center"/>
        <w:rPr>
          <w:rFonts w:ascii="Times New Roman" w:hAnsi="Times New Roman"/>
          <w:i/>
          <w:iCs/>
          <w:kern w:val="0"/>
          <w:sz w:val="24"/>
          <w:szCs w:val="24"/>
          <w:shd w:val="clear" w:color="auto" w:fill="FFFFFF"/>
        </w:rPr>
      </w:pPr>
    </w:p>
    <w:p w14:paraId="073F3403">
      <w:pPr>
        <w:framePr w:w="9639" w:h="4061" w:hRule="exact" w:wrap="around" w:vAnchor="page" w:hAnchor="page" w:x="1401" w:y="7561" w:anchorLock="1"/>
        <w:spacing w:line="480" w:lineRule="auto"/>
        <w:jc w:val="center"/>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（征求意见稿）</w:t>
      </w:r>
    </w:p>
    <w:p w14:paraId="1EBB06F9">
      <w:pPr>
        <w:spacing w:before="156" w:beforeLines="50" w:after="156" w:afterLines="50" w:line="360" w:lineRule="auto"/>
        <w:jc w:val="center"/>
        <w:rPr>
          <w:rFonts w:ascii="Times New Roman" w:hAnsi="Times New Roman"/>
          <w:b/>
          <w:kern w:val="0"/>
          <w:sz w:val="28"/>
          <w:szCs w:val="28"/>
          <w:shd w:val="clear" w:color="auto" w:fill="FFFFFF"/>
        </w:rPr>
      </w:pPr>
    </w:p>
    <w:p w14:paraId="0807348F">
      <w:pPr>
        <w:rPr>
          <w:kern w:val="0"/>
        </w:rPr>
      </w:pPr>
    </w:p>
    <w:p w14:paraId="17780AF9">
      <w:pPr>
        <w:rPr>
          <w:kern w:val="0"/>
        </w:rPr>
      </w:pPr>
    </w:p>
    <w:p w14:paraId="7349AEB2">
      <w:pPr>
        <w:rPr>
          <w:kern w:val="0"/>
        </w:rPr>
      </w:pPr>
    </w:p>
    <w:p w14:paraId="6CBFE45D">
      <w:pPr>
        <w:rPr>
          <w:kern w:val="0"/>
        </w:rPr>
      </w:pPr>
    </w:p>
    <w:p w14:paraId="18A8ADD0">
      <w:pPr>
        <w:rPr>
          <w:rFonts w:hint="eastAsia" w:ascii="黑体" w:hAnsi="微软雅黑" w:eastAsia="黑体"/>
          <w:kern w:val="0"/>
          <w:sz w:val="28"/>
          <w:szCs w:val="28"/>
        </w:rPr>
      </w:pPr>
      <w:r>
        <w:rPr>
          <w:rFonts w:ascii="黑体" w:hAnsi="微软雅黑" w:eastAsia="黑体"/>
          <w:spacing w:val="1"/>
          <w:kern w:val="0"/>
          <w:sz w:val="28"/>
          <w:szCs w:val="28"/>
          <w:fitText w:val="8921" w:id="2"/>
        </w:rPr>
        <w:t>202</w:t>
      </w:r>
      <w:r>
        <w:rPr>
          <w:rFonts w:hint="eastAsia" w:ascii="黑体" w:hAnsi="微软雅黑" w:eastAsia="黑体"/>
          <w:spacing w:val="1"/>
          <w:kern w:val="0"/>
          <w:sz w:val="28"/>
          <w:szCs w:val="28"/>
          <w:fitText w:val="8921" w:id="2"/>
        </w:rPr>
        <w:t>X</w:t>
      </w:r>
      <w:r>
        <w:rPr>
          <w:rFonts w:ascii="黑体" w:hAnsi="微软雅黑" w:eastAsia="黑体"/>
          <w:spacing w:val="1"/>
          <w:kern w:val="0"/>
          <w:sz w:val="28"/>
          <w:szCs w:val="28"/>
          <w:fitText w:val="8921" w:id="2"/>
        </w:rPr>
        <w:t xml:space="preserve">-X-X </w:t>
      </w:r>
      <w:r>
        <w:rPr>
          <w:rFonts w:hint="eastAsia" w:ascii="黑体" w:hAnsi="黑体" w:eastAsia="黑体"/>
          <w:spacing w:val="1"/>
          <w:kern w:val="0"/>
          <w:sz w:val="28"/>
          <w:szCs w:val="28"/>
          <w:fitText w:val="8921" w:id="2"/>
        </w:rPr>
        <w:t>发布</w:t>
      </w:r>
      <w:r>
        <w:rPr>
          <w:rFonts w:ascii="黑体" w:hAnsi="黑体" w:eastAsia="黑体"/>
          <w:spacing w:val="1"/>
          <w:kern w:val="0"/>
          <w:sz w:val="28"/>
          <w:szCs w:val="28"/>
          <w:fitText w:val="8921" w:id="2"/>
        </w:rPr>
        <w:t xml:space="preserve">                                     202</w:t>
      </w:r>
      <w:r>
        <w:rPr>
          <w:rFonts w:hint="eastAsia" w:ascii="黑体" w:hAnsi="黑体" w:eastAsia="黑体"/>
          <w:spacing w:val="1"/>
          <w:kern w:val="0"/>
          <w:sz w:val="28"/>
          <w:szCs w:val="28"/>
          <w:fitText w:val="8921" w:id="2"/>
        </w:rPr>
        <w:t>X</w:t>
      </w:r>
      <w:r>
        <w:rPr>
          <w:rFonts w:ascii="黑体" w:hAnsi="微软雅黑" w:eastAsia="黑体"/>
          <w:spacing w:val="1"/>
          <w:kern w:val="0"/>
          <w:sz w:val="28"/>
          <w:szCs w:val="28"/>
          <w:fitText w:val="8921" w:id="2"/>
        </w:rPr>
        <w:t xml:space="preserve">-X-X </w:t>
      </w:r>
      <w:r>
        <w:rPr>
          <w:rFonts w:hint="eastAsia" w:ascii="黑体" w:hAnsi="黑体" w:eastAsia="黑体"/>
          <w:spacing w:val="1"/>
          <w:kern w:val="0"/>
          <w:sz w:val="28"/>
          <w:szCs w:val="28"/>
          <w:fitText w:val="8921" w:id="2"/>
        </w:rPr>
        <w:t>实</w:t>
      </w:r>
      <w:r>
        <w:rPr>
          <w:rFonts w:hint="eastAsia" w:ascii="黑体" w:hAnsi="黑体" w:eastAsia="黑体"/>
          <w:spacing w:val="0"/>
          <w:kern w:val="0"/>
          <w:sz w:val="28"/>
          <w:szCs w:val="28"/>
          <w:fitText w:val="8921" w:id="2"/>
        </w:rPr>
        <w:t>施</w:t>
      </w:r>
    </w:p>
    <w:p w14:paraId="1A20B8F1">
      <w:pPr>
        <w:spacing w:before="312" w:beforeLines="100"/>
        <w:ind w:firstLine="214" w:firstLineChars="67"/>
        <w:jc w:val="center"/>
        <w:rPr>
          <w:rFonts w:hint="eastAsia" w:ascii="方正小标宋简体" w:hAnsi="方正小标宋简体" w:eastAsia="方正小标宋简体"/>
          <w:spacing w:val="-20"/>
          <w:kern w:val="0"/>
          <w:sz w:val="36"/>
          <w:szCs w:val="36"/>
        </w:rPr>
      </w:pPr>
      <w:r>
        <w:rPr>
          <w:rFonts w:ascii="黑体" w:hAnsi="黑体" w:eastAsia="黑体"/>
          <w:bCs/>
          <w:spacing w:val="-20"/>
          <w:kern w:val="0"/>
          <w:sz w:val="36"/>
          <w:szCs w:val="36"/>
          <w:fitText w:val="5980" w:id="3"/>
        </w:rP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85725</wp:posOffset>
                </wp:positionV>
                <wp:extent cx="5874385" cy="0"/>
                <wp:effectExtent l="0" t="0" r="0" b="0"/>
                <wp:wrapNone/>
                <wp:docPr id="6" name="AutoShape 3"/>
                <wp:cNvGraphicFramePr/>
                <a:graphic xmlns:a="http://schemas.openxmlformats.org/drawingml/2006/main">
                  <a:graphicData uri="http://schemas.microsoft.com/office/word/2010/wordprocessingShape">
                    <wps:wsp>
                      <wps:cNvCnPr>
                        <a:cxnSpLocks noChangeShapeType="1"/>
                      </wps:cNvCnPr>
                      <wps:spPr bwMode="auto">
                        <a:xfrm>
                          <a:off x="0" y="0"/>
                          <a:ext cx="5874385" cy="0"/>
                        </a:xfrm>
                        <a:prstGeom prst="straightConnector1">
                          <a:avLst/>
                        </a:prstGeom>
                        <a:noFill/>
                        <a:ln w="19050">
                          <a:solidFill>
                            <a:srgbClr val="000000"/>
                          </a:solidFill>
                          <a:round/>
                        </a:ln>
                      </wps:spPr>
                      <wps:bodyPr/>
                    </wps:wsp>
                  </a:graphicData>
                </a:graphic>
              </wp:anchor>
            </w:drawing>
          </mc:Choice>
          <mc:Fallback>
            <w:pict>
              <v:shape id="AutoShape 3" o:spid="_x0000_s1026" o:spt="32" type="#_x0000_t32" style="position:absolute;left:0pt;margin-left:-11.8pt;margin-top:6.75pt;height:0pt;width:462.55pt;z-index:251661312;mso-width-relative:page;mso-height-relative:page;" filled="f" stroked="t" coordsize="21600,21600" o:gfxdata="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qWKQm1QAAAAkBAAAPAAAAAAAAAAEAIAAA&#10;ACIAAABkcnMvZG93bnJldi54bWxQSwECFAAUAAAACACHTuJAK3q0y9YBAACzAwAADgAAAAAAAAAB&#10;ACAAAAAkAQAAZHJzL2Uyb0RvYy54bWxQSwUGAAAAAAYABgBZAQAAbAUAAAAA&#10;">
                <v:fill on="f" focussize="0,0"/>
                <v:stroke weight="1.5pt" color="#000000" joinstyle="round"/>
                <v:imagedata o:title=""/>
                <o:lock v:ext="edit" aspectratio="f"/>
              </v:shape>
            </w:pict>
          </mc:Fallback>
        </mc:AlternateContent>
      </w:r>
      <w:r>
        <w:rPr>
          <w:rFonts w:hint="eastAsia" w:ascii="黑体" w:hAnsi="黑体" w:eastAsia="黑体" w:cs="宋体"/>
          <w:bCs/>
          <w:spacing w:val="20"/>
          <w:kern w:val="0"/>
          <w:sz w:val="36"/>
          <w:szCs w:val="36"/>
        </w:rPr>
        <w:t>中关村现代能源环境服务产业联盟</w:t>
      </w:r>
      <w:r>
        <w:rPr>
          <w:rFonts w:hint="eastAsia" w:ascii="宋体" w:hAnsi="宋体" w:cs="宋体"/>
          <w:b/>
          <w:spacing w:val="20"/>
          <w:kern w:val="0"/>
          <w:sz w:val="36"/>
          <w:szCs w:val="36"/>
        </w:rPr>
        <w:t xml:space="preserve"> </w:t>
      </w:r>
      <w:r>
        <w:rPr>
          <w:rFonts w:hint="eastAsia" w:ascii="黑体" w:hAnsi="黑体" w:eastAsia="黑体" w:cs="宋体"/>
          <w:b/>
          <w:spacing w:val="20"/>
          <w:kern w:val="0"/>
          <w:sz w:val="28"/>
          <w:szCs w:val="28"/>
        </w:rPr>
        <w:t>发布</w:t>
      </w:r>
    </w:p>
    <w:p w14:paraId="4F4BC1A7">
      <w:pPr>
        <w:sectPr>
          <w:headerReference r:id="rId3" w:type="default"/>
          <w:pgSz w:w="11906" w:h="16838"/>
          <w:pgMar w:top="1440" w:right="1800" w:bottom="1440" w:left="1800" w:header="851" w:footer="992" w:gutter="0"/>
          <w:cols w:space="425" w:num="1"/>
          <w:docGrid w:type="lines" w:linePitch="312" w:charSpace="0"/>
        </w:sectPr>
      </w:pPr>
    </w:p>
    <w:p w14:paraId="2E27656A">
      <w:pPr>
        <w:spacing w:before="120" w:after="120"/>
        <w:rPr>
          <w:rFonts w:ascii="宋体"/>
          <w:szCs w:val="21"/>
        </w:rPr>
      </w:pPr>
    </w:p>
    <w:p w14:paraId="386A664E">
      <w:pPr>
        <w:spacing w:before="120" w:after="120"/>
        <w:rPr>
          <w:rFonts w:ascii="宋体"/>
          <w:szCs w:val="21"/>
        </w:rPr>
      </w:pPr>
    </w:p>
    <w:p w14:paraId="64E38D29">
      <w:pPr>
        <w:spacing w:before="120" w:after="120"/>
        <w:rPr>
          <w:rFonts w:ascii="宋体"/>
          <w:szCs w:val="21"/>
        </w:rPr>
      </w:pPr>
    </w:p>
    <w:p w14:paraId="08AB3B09">
      <w:pPr>
        <w:spacing w:before="120" w:after="120"/>
        <w:rPr>
          <w:rFonts w:ascii="宋体"/>
          <w:szCs w:val="21"/>
        </w:rPr>
      </w:pPr>
    </w:p>
    <w:p w14:paraId="2C047348">
      <w:pPr>
        <w:spacing w:before="120" w:after="120"/>
        <w:rPr>
          <w:rFonts w:ascii="宋体"/>
          <w:szCs w:val="21"/>
        </w:rPr>
      </w:pPr>
    </w:p>
    <w:p w14:paraId="41C74EAC">
      <w:pPr>
        <w:spacing w:before="120" w:after="120"/>
        <w:rPr>
          <w:rFonts w:ascii="宋体"/>
          <w:szCs w:val="21"/>
        </w:rPr>
      </w:pPr>
    </w:p>
    <w:p w14:paraId="1621FB32">
      <w:pPr>
        <w:spacing w:before="120" w:after="120"/>
        <w:rPr>
          <w:rFonts w:ascii="宋体"/>
          <w:szCs w:val="21"/>
        </w:rPr>
      </w:pPr>
    </w:p>
    <w:p w14:paraId="30AE776B">
      <w:pPr>
        <w:spacing w:before="120" w:after="120"/>
        <w:rPr>
          <w:rFonts w:ascii="宋体"/>
          <w:szCs w:val="21"/>
        </w:rPr>
      </w:pPr>
    </w:p>
    <w:p w14:paraId="30281DF0">
      <w:pPr>
        <w:spacing w:before="120" w:after="120"/>
        <w:rPr>
          <w:rFonts w:ascii="宋体"/>
          <w:szCs w:val="21"/>
        </w:rPr>
      </w:pPr>
    </w:p>
    <w:p w14:paraId="0E114068">
      <w:pPr>
        <w:spacing w:before="120" w:after="120"/>
        <w:rPr>
          <w:rFonts w:ascii="宋体"/>
          <w:szCs w:val="21"/>
        </w:rPr>
      </w:pPr>
    </w:p>
    <w:p w14:paraId="46E07C72">
      <w:pPr>
        <w:spacing w:before="120" w:after="120"/>
        <w:rPr>
          <w:rFonts w:ascii="宋体"/>
          <w:szCs w:val="21"/>
        </w:rPr>
      </w:pPr>
    </w:p>
    <w:p w14:paraId="2D12F0C4">
      <w:pPr>
        <w:spacing w:before="120" w:after="120"/>
        <w:rPr>
          <w:rFonts w:ascii="宋体"/>
          <w:szCs w:val="21"/>
        </w:rPr>
      </w:pPr>
    </w:p>
    <w:p w14:paraId="4AAB5064">
      <w:pPr>
        <w:spacing w:before="120" w:after="120"/>
        <w:rPr>
          <w:rFonts w:ascii="宋体"/>
          <w:szCs w:val="21"/>
        </w:rPr>
      </w:pPr>
    </w:p>
    <w:p w14:paraId="2937E738">
      <w:pPr>
        <w:spacing w:before="120" w:after="120"/>
        <w:rPr>
          <w:rFonts w:ascii="宋体"/>
          <w:szCs w:val="21"/>
        </w:rPr>
      </w:pPr>
    </w:p>
    <w:p w14:paraId="60AE0F7B">
      <w:pPr>
        <w:spacing w:before="120" w:after="120"/>
        <w:rPr>
          <w:rFonts w:ascii="宋体"/>
          <w:szCs w:val="21"/>
        </w:rPr>
      </w:pPr>
    </w:p>
    <w:p w14:paraId="1094CE1C">
      <w:pPr>
        <w:spacing w:before="120" w:after="120"/>
        <w:rPr>
          <w:rFonts w:ascii="宋体"/>
          <w:szCs w:val="21"/>
        </w:rPr>
      </w:pPr>
    </w:p>
    <w:p w14:paraId="37B3B548">
      <w:pPr>
        <w:spacing w:before="120" w:after="120"/>
        <w:rPr>
          <w:rFonts w:ascii="宋体"/>
          <w:szCs w:val="21"/>
        </w:rPr>
      </w:pPr>
    </w:p>
    <w:p w14:paraId="043E4BF9">
      <w:pPr>
        <w:spacing w:before="120" w:after="120"/>
        <w:rPr>
          <w:rFonts w:ascii="宋体"/>
          <w:szCs w:val="21"/>
        </w:rPr>
      </w:pPr>
    </w:p>
    <w:p w14:paraId="64F54780">
      <w:pPr>
        <w:spacing w:before="120" w:after="120"/>
        <w:rPr>
          <w:rFonts w:ascii="宋体"/>
          <w:szCs w:val="21"/>
        </w:rPr>
      </w:pPr>
    </w:p>
    <w:p w14:paraId="30C4F49C">
      <w:pPr>
        <w:spacing w:before="120" w:after="120"/>
        <w:rPr>
          <w:rFonts w:ascii="宋体"/>
          <w:szCs w:val="21"/>
        </w:rPr>
      </w:pPr>
    </w:p>
    <w:p w14:paraId="0EE8C8DC">
      <w:pPr>
        <w:spacing w:before="120" w:after="120"/>
        <w:rPr>
          <w:rFonts w:ascii="宋体"/>
          <w:szCs w:val="21"/>
        </w:rPr>
      </w:pPr>
    </w:p>
    <w:p w14:paraId="136E5EA4">
      <w:pPr>
        <w:pStyle w:val="13"/>
        <w:rPr>
          <w:rFonts w:hint="eastAsia" w:ascii="宋体"/>
          <w:szCs w:val="21"/>
        </w:rPr>
      </w:pPr>
    </w:p>
    <w:p w14:paraId="0C316E55">
      <w:pPr>
        <w:pStyle w:val="13"/>
        <w:rPr>
          <w:rFonts w:hint="eastAsia" w:ascii="宋体"/>
          <w:szCs w:val="21"/>
        </w:rPr>
      </w:pPr>
    </w:p>
    <w:p w14:paraId="5F62618F">
      <w:pPr>
        <w:pStyle w:val="13"/>
        <w:rPr>
          <w:rFonts w:hint="eastAsia" w:ascii="宋体"/>
          <w:szCs w:val="21"/>
        </w:rPr>
      </w:pPr>
    </w:p>
    <w:p w14:paraId="5C458B02">
      <w:pPr>
        <w:pStyle w:val="13"/>
        <w:rPr>
          <w:rFonts w:hint="eastAsia" w:ascii="宋体"/>
          <w:szCs w:val="21"/>
        </w:rPr>
      </w:pPr>
    </w:p>
    <w:p w14:paraId="72F2A051">
      <w:pPr>
        <w:rPr>
          <w:rFonts w:hint="eastAsia" w:ascii="宋体" w:hAnsi="宋体" w:cs="宋体"/>
          <w:szCs w:val="21"/>
        </w:rPr>
      </w:pPr>
      <w:r>
        <w:rPr>
          <w:rFonts w:ascii="宋体"/>
          <w:szCs w:val="21"/>
        </w:rPr>
        <w:drawing>
          <wp:inline distT="0" distB="0" distL="114300" distR="114300">
            <wp:extent cx="808990" cy="765175"/>
            <wp:effectExtent l="0" t="0" r="13970" b="1206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7"/>
                    <a:stretch>
                      <a:fillRect/>
                    </a:stretch>
                  </pic:blipFill>
                  <pic:spPr>
                    <a:xfrm>
                      <a:off x="0" y="0"/>
                      <a:ext cx="808990" cy="765175"/>
                    </a:xfrm>
                    <a:prstGeom prst="rect">
                      <a:avLst/>
                    </a:prstGeom>
                    <a:noFill/>
                    <a:ln>
                      <a:noFill/>
                    </a:ln>
                  </pic:spPr>
                </pic:pic>
              </a:graphicData>
            </a:graphic>
          </wp:inline>
        </w:drawing>
      </w:r>
      <w:r>
        <w:rPr>
          <w:rFonts w:hint="eastAsia" w:ascii="宋体" w:hAnsi="宋体" w:cs="宋体"/>
          <w:szCs w:val="21"/>
        </w:rPr>
        <w:t>版权保护文件</w:t>
      </w:r>
    </w:p>
    <w:p w14:paraId="2A65FE2B">
      <w:pPr>
        <w:spacing w:before="156" w:beforeLines="50" w:after="156" w:afterLines="50"/>
        <w:rPr>
          <w:rFonts w:ascii="宋体"/>
          <w:szCs w:val="21"/>
        </w:rPr>
        <w:sectPr>
          <w:headerReference r:id="rId4" w:type="default"/>
          <w:pgSz w:w="11906" w:h="16838"/>
          <w:pgMar w:top="1134" w:right="1134" w:bottom="1134" w:left="1134" w:header="907" w:footer="880" w:gutter="0"/>
          <w:pgNumType w:fmt="upperRoman" w:start="1"/>
          <w:cols w:space="720" w:num="1"/>
          <w:formProt w:val="0"/>
          <w:docGrid w:type="lines" w:linePitch="312" w:charSpace="0"/>
        </w:sectPr>
      </w:pPr>
      <w:r>
        <w:rPr>
          <w:rFonts w:hint="eastAsia" w:ascii="宋体" w:hAnsi="宋体" w:cs="宋体"/>
          <w:szCs w:val="21"/>
        </w:rPr>
        <w:t>版权所有归属于该标准的发布机构。除非有其他规定，否则未经许可，此发行物及其章节不得以其他形式或任何手段进行复制、再版或使用，包括电子版，影印件，或发布在互联网及内部网络等。使用许可与发布机构获取</w:t>
      </w:r>
    </w:p>
    <w:p w14:paraId="6F82A45F">
      <w:pPr>
        <w:spacing w:before="120" w:after="120"/>
        <w:jc w:val="center"/>
        <w:rPr>
          <w:rFonts w:hint="eastAsia" w:ascii="黑体" w:hAnsi="黑体" w:eastAsia="黑体" w:cs="黑体"/>
          <w:bCs/>
          <w:sz w:val="32"/>
          <w:szCs w:val="32"/>
        </w:rPr>
      </w:pPr>
      <w:r>
        <w:rPr>
          <w:rFonts w:hint="eastAsia" w:ascii="黑体" w:hAnsi="黑体" w:eastAsia="黑体" w:cs="黑体"/>
          <w:bCs/>
          <w:sz w:val="32"/>
          <w:szCs w:val="32"/>
        </w:rPr>
        <w:t>前     言</w:t>
      </w:r>
    </w:p>
    <w:p w14:paraId="01E8D13E">
      <w:pPr>
        <w:pStyle w:val="13"/>
        <w:spacing w:before="120" w:after="120"/>
        <w:rPr>
          <w:rFonts w:hint="eastAsia"/>
        </w:rPr>
      </w:pPr>
    </w:p>
    <w:p w14:paraId="5BAFED65">
      <w:pPr>
        <w:spacing w:before="156" w:beforeLines="50" w:after="156" w:afterLines="50"/>
        <w:ind w:firstLine="420" w:firstLineChars="200"/>
        <w:rPr>
          <w:rFonts w:ascii="Times New Roman" w:hAnsi="Times New Roman"/>
        </w:rPr>
      </w:pPr>
      <w:r>
        <w:rPr>
          <w:rFonts w:hint="eastAsia" w:ascii="Times New Roman" w:hAnsi="Times New Roman"/>
        </w:rPr>
        <w:t>本文件按照 GB/T 1.1—2020《标准化工作导则 第1部分：标准化文件的结构和起草规则》的规定起草。</w:t>
      </w:r>
    </w:p>
    <w:p w14:paraId="07332C8A">
      <w:pPr>
        <w:spacing w:before="156" w:beforeLines="50" w:after="156" w:afterLines="50"/>
        <w:ind w:firstLine="420" w:firstLineChars="200"/>
        <w:rPr>
          <w:rFonts w:ascii="Times New Roman" w:hAnsi="Times New Roman"/>
        </w:rPr>
      </w:pPr>
      <w:r>
        <w:rPr>
          <w:rFonts w:hint="eastAsia" w:ascii="Times New Roman" w:hAnsi="Times New Roman"/>
        </w:rPr>
        <w:t>请注意本文件的某些内容可能涉及专利。本文件的发布机构不承担识别专利的责任。</w:t>
      </w:r>
    </w:p>
    <w:p w14:paraId="51406361">
      <w:pPr>
        <w:spacing w:before="156" w:beforeLines="50" w:after="156" w:afterLines="50"/>
        <w:ind w:firstLine="420" w:firstLineChars="200"/>
        <w:rPr>
          <w:rFonts w:ascii="Times New Roman" w:hAnsi="Times New Roman"/>
        </w:rPr>
      </w:pPr>
      <w:r>
        <w:rPr>
          <w:rFonts w:hint="eastAsia" w:ascii="Times New Roman" w:hAnsi="Times New Roman"/>
        </w:rPr>
        <w:t>本文件由中关村现代能源环境服务产业联盟提出并归口。</w:t>
      </w:r>
    </w:p>
    <w:p w14:paraId="2E315163">
      <w:pPr>
        <w:widowControl/>
        <w:spacing w:before="156" w:beforeLines="50" w:after="156" w:afterLines="50"/>
        <w:ind w:firstLine="420" w:firstLineChars="200"/>
        <w:rPr>
          <w:rFonts w:hint="eastAsia" w:ascii="宋体" w:hAnsi="宋体" w:cs="宋体"/>
        </w:rPr>
      </w:pPr>
      <w:r>
        <w:rPr>
          <w:rFonts w:hint="eastAsia" w:ascii="宋体" w:hAnsi="宋体" w:cs="宋体"/>
        </w:rPr>
        <w:t>本文件起草</w:t>
      </w:r>
      <w:r>
        <w:rPr>
          <w:rFonts w:hint="eastAsia" w:ascii="Times New Roman" w:hAnsi="Times New Roman"/>
        </w:rPr>
        <w:t>单位</w:t>
      </w:r>
      <w:r>
        <w:rPr>
          <w:rFonts w:hint="eastAsia" w:ascii="宋体" w:hAnsi="宋体" w:cs="宋体"/>
        </w:rPr>
        <w:t>：</w:t>
      </w:r>
    </w:p>
    <w:p w14:paraId="350C11F1">
      <w:pPr>
        <w:spacing w:before="156" w:beforeLines="50" w:after="156" w:afterLines="50"/>
        <w:ind w:firstLine="420" w:firstLineChars="200"/>
        <w:rPr>
          <w:rFonts w:hint="eastAsia" w:ascii="宋体" w:hAnsi="宋体" w:cs="宋体"/>
        </w:rPr>
      </w:pPr>
      <w:r>
        <w:rPr>
          <w:rFonts w:hint="eastAsia" w:ascii="宋体" w:hAnsi="宋体" w:cs="宋体"/>
        </w:rPr>
        <w:t>本文件主要起草人：</w:t>
      </w:r>
    </w:p>
    <w:p w14:paraId="63705D78">
      <w:pPr>
        <w:spacing w:before="156" w:beforeLines="50" w:after="156" w:afterLines="50"/>
        <w:ind w:firstLine="420" w:firstLineChars="200"/>
        <w:rPr>
          <w:rFonts w:hint="eastAsia" w:hAnsi="黑体" w:cs="Arial"/>
        </w:rPr>
        <w:sectPr>
          <w:headerReference r:id="rId5" w:type="default"/>
          <w:pgSz w:w="11906" w:h="16838"/>
          <w:pgMar w:top="1418" w:right="1134" w:bottom="1134" w:left="1418" w:header="851" w:footer="992" w:gutter="0"/>
          <w:cols w:space="425" w:num="1"/>
          <w:docGrid w:type="lines" w:linePitch="312" w:charSpace="0"/>
        </w:sectPr>
      </w:pPr>
      <w:r>
        <w:rPr>
          <w:rFonts w:ascii="Times New Roman" w:hAnsi="Times New Roman"/>
        </w:rPr>
        <w:t>本文件为首次发布</w:t>
      </w:r>
      <w:r>
        <w:rPr>
          <w:rFonts w:hint="eastAsia" w:ascii="Times New Roman" w:hAnsi="Times New Roman"/>
        </w:rPr>
        <w:t>。</w:t>
      </w:r>
    </w:p>
    <w:p w14:paraId="7B6B4677">
      <w:pPr>
        <w:pStyle w:val="21"/>
        <w:rPr>
          <w:rFonts w:hint="eastAsia" w:hAnsi="黑体" w:cs="Arial"/>
        </w:rPr>
      </w:pPr>
      <w:r>
        <w:rPr>
          <w:rFonts w:hint="eastAsia" w:hAnsi="黑体" w:cs="Arial"/>
        </w:rPr>
        <w:t>工业企业能碳管控中心建设指南</w:t>
      </w:r>
    </w:p>
    <w:p w14:paraId="5D7B4E39">
      <w:pPr>
        <w:pStyle w:val="18"/>
        <w:numPr>
          <w:ilvl w:val="0"/>
          <w:numId w:val="2"/>
        </w:numPr>
        <w:spacing w:before="312" w:after="312"/>
        <w:outlineLvl w:val="0"/>
        <w:rPr>
          <w:rFonts w:hint="eastAsia" w:hAnsi="黑体" w:cs="Arial"/>
        </w:rPr>
      </w:pPr>
      <w:r>
        <w:rPr>
          <w:rFonts w:hint="eastAsia" w:hAnsi="黑体" w:cs="Arial"/>
        </w:rPr>
        <w:t>范围</w:t>
      </w:r>
    </w:p>
    <w:p w14:paraId="5E74B872">
      <w:pPr>
        <w:spacing w:before="156" w:beforeLines="50" w:after="156" w:afterLines="50"/>
        <w:ind w:firstLine="452" w:firstLineChars="200"/>
        <w:rPr>
          <w:rFonts w:ascii="Helvetica" w:hAnsi="Helvetica" w:cs="Helvetica"/>
          <w:spacing w:val="8"/>
          <w:szCs w:val="21"/>
          <w:shd w:val="clear" w:color="auto" w:fill="FFFFFF"/>
        </w:rPr>
      </w:pPr>
      <w:r>
        <w:rPr>
          <w:rFonts w:ascii="Helvetica" w:hAnsi="Helvetica" w:cs="Helvetica"/>
          <w:spacing w:val="8"/>
          <w:szCs w:val="21"/>
          <w:shd w:val="clear" w:color="auto" w:fill="FFFFFF"/>
        </w:rPr>
        <w:t>本</w:t>
      </w:r>
      <w:r>
        <w:rPr>
          <w:rFonts w:hint="eastAsia" w:ascii="Helvetica" w:hAnsi="Helvetica" w:cs="Helvetica"/>
          <w:spacing w:val="8"/>
          <w:szCs w:val="21"/>
          <w:shd w:val="clear" w:color="auto" w:fill="FFFFFF"/>
        </w:rPr>
        <w:t>文件规定了</w:t>
      </w:r>
      <w:r>
        <w:rPr>
          <w:rFonts w:ascii="Helvetica" w:hAnsi="Helvetica" w:cs="Helvetica"/>
          <w:spacing w:val="8"/>
          <w:szCs w:val="21"/>
          <w:shd w:val="clear" w:color="auto" w:fill="FFFFFF"/>
        </w:rPr>
        <w:t>工业企业能碳管控中心建设</w:t>
      </w:r>
      <w:r>
        <w:rPr>
          <w:rFonts w:hint="eastAsia" w:ascii="Helvetica" w:hAnsi="Helvetica" w:cs="Helvetica"/>
          <w:spacing w:val="8"/>
          <w:szCs w:val="21"/>
          <w:shd w:val="clear" w:color="auto" w:fill="FFFFFF"/>
        </w:rPr>
        <w:t>的范围、缩略语、基本原则、一般要求、系统架构、硬件要求和运维管理等方面的内容</w:t>
      </w:r>
      <w:r>
        <w:rPr>
          <w:rFonts w:ascii="Helvetica" w:hAnsi="Helvetica" w:cs="Helvetica"/>
          <w:spacing w:val="8"/>
          <w:szCs w:val="21"/>
          <w:shd w:val="clear" w:color="auto" w:fill="FFFFFF"/>
        </w:rPr>
        <w:t>。</w:t>
      </w:r>
    </w:p>
    <w:p w14:paraId="3ED4E227">
      <w:pPr>
        <w:spacing w:before="156" w:beforeLines="50" w:after="156" w:afterLines="50"/>
        <w:ind w:firstLine="452" w:firstLineChars="200"/>
        <w:rPr>
          <w:rFonts w:hint="eastAsia" w:hAnsi="黑体" w:cs="Arial"/>
        </w:rPr>
      </w:pPr>
      <w:r>
        <w:rPr>
          <w:rFonts w:hint="eastAsia" w:ascii="Helvetica" w:hAnsi="Helvetica" w:cs="Helvetica"/>
          <w:spacing w:val="8"/>
          <w:szCs w:val="21"/>
          <w:shd w:val="clear" w:color="auto" w:fill="FFFFFF"/>
        </w:rPr>
        <w:t>本标准适用于</w:t>
      </w:r>
      <w:r>
        <w:rPr>
          <w:rFonts w:ascii="Helvetica" w:hAnsi="Helvetica" w:cs="Helvetica"/>
          <w:spacing w:val="8"/>
          <w:szCs w:val="21"/>
          <w:shd w:val="clear" w:color="auto" w:fill="FFFFFF"/>
        </w:rPr>
        <w:t>工业企业能碳管控中心的</w:t>
      </w:r>
      <w:r>
        <w:rPr>
          <w:rFonts w:hint="eastAsia" w:ascii="Helvetica" w:hAnsi="Helvetica" w:cs="Helvetica"/>
          <w:spacing w:val="8"/>
          <w:szCs w:val="21"/>
          <w:shd w:val="clear" w:color="auto" w:fill="FFFFFF"/>
        </w:rPr>
        <w:t>建设及改造。</w:t>
      </w:r>
    </w:p>
    <w:p w14:paraId="07F4CBDC">
      <w:pPr>
        <w:pStyle w:val="18"/>
        <w:numPr>
          <w:ilvl w:val="0"/>
          <w:numId w:val="2"/>
        </w:numPr>
        <w:spacing w:before="312" w:after="312"/>
        <w:outlineLvl w:val="0"/>
        <w:rPr>
          <w:rFonts w:hint="eastAsia" w:hAnsi="黑体" w:cs="Arial"/>
        </w:rPr>
      </w:pPr>
      <w:r>
        <w:rPr>
          <w:rFonts w:hint="eastAsia" w:hAnsi="黑体" w:cs="Arial"/>
        </w:rPr>
        <w:t>规范性引用文件</w:t>
      </w:r>
    </w:p>
    <w:p w14:paraId="553D7AA8">
      <w:pPr>
        <w:pStyle w:val="19"/>
        <w:spacing w:before="156" w:beforeLines="50" w:after="156" w:afterLines="50"/>
        <w:rPr>
          <w:rFonts w:ascii="Arial" w:hAnsi="Arial" w:cs="Arial"/>
          <w:szCs w:val="21"/>
        </w:rPr>
      </w:pPr>
      <w:r>
        <w:rPr>
          <w:rFonts w:hint="eastAsia" w:ascii="Arial" w:hAnsi="Arial" w:cs="Arial"/>
          <w:szCs w:val="21"/>
        </w:rPr>
        <w:t>下列文件对于本文件的应用是必不可少的。凡是注日期的引用文件，仅注日期的版本适用于本文件。凡是不注日期的引用文件，其最新版本（包括所有的修改单）适用于本文件。</w:t>
      </w:r>
    </w:p>
    <w:p w14:paraId="329760AA">
      <w:pPr>
        <w:pStyle w:val="19"/>
        <w:spacing w:before="156" w:beforeLines="50" w:after="156" w:afterLines="50"/>
      </w:pPr>
      <w:r>
        <w:rPr>
          <w:rFonts w:hint="eastAsia"/>
        </w:rPr>
        <w:t xml:space="preserve">GB/T 2589 综合能耗计算通则 </w:t>
      </w:r>
    </w:p>
    <w:p w14:paraId="7464273B">
      <w:pPr>
        <w:pStyle w:val="19"/>
        <w:spacing w:before="156" w:beforeLines="50" w:after="156" w:afterLines="50"/>
      </w:pPr>
      <w:r>
        <w:rPr>
          <w:rFonts w:hint="eastAsia"/>
        </w:rPr>
        <w:t>GB/T 15587 工业企业能源管理导则</w:t>
      </w:r>
    </w:p>
    <w:p w14:paraId="4141FB98">
      <w:pPr>
        <w:pStyle w:val="19"/>
        <w:spacing w:before="156" w:beforeLines="50" w:after="156" w:afterLines="50"/>
      </w:pPr>
      <w:r>
        <w:rPr>
          <w:rFonts w:hint="eastAsia"/>
        </w:rPr>
        <w:t>GB 17167 用能单位能源计量器具配备和管理通则</w:t>
      </w:r>
    </w:p>
    <w:p w14:paraId="1B5DC51F">
      <w:pPr>
        <w:pStyle w:val="19"/>
        <w:spacing w:before="156" w:beforeLines="50" w:after="156" w:afterLines="50"/>
      </w:pPr>
      <w:r>
        <w:t>GB/T 19022 测量管理体系 测量过程和测量设备的要求</w:t>
      </w:r>
    </w:p>
    <w:p w14:paraId="775FF400">
      <w:pPr>
        <w:pStyle w:val="19"/>
        <w:spacing w:before="156" w:beforeLines="50" w:after="156" w:afterLines="50"/>
      </w:pPr>
      <w:r>
        <w:t>GB/T 22239</w:t>
      </w:r>
      <w:r>
        <w:rPr>
          <w:rFonts w:hint="eastAsia"/>
        </w:rPr>
        <w:t xml:space="preserve"> 信息安全技术 信息系统安全等级保护基本要求</w:t>
      </w:r>
    </w:p>
    <w:p w14:paraId="3720979D">
      <w:pPr>
        <w:pStyle w:val="19"/>
        <w:spacing w:before="156" w:beforeLines="50" w:after="156" w:afterLines="50"/>
      </w:pPr>
      <w:r>
        <w:t xml:space="preserve">GB/T 23331 </w:t>
      </w:r>
      <w:r>
        <w:rPr>
          <w:rFonts w:hint="eastAsia"/>
        </w:rPr>
        <w:t>能源管理体系要求 要求及使用指南</w:t>
      </w:r>
    </w:p>
    <w:p w14:paraId="7865465C">
      <w:pPr>
        <w:pStyle w:val="19"/>
        <w:spacing w:before="156" w:beforeLines="50" w:after="156" w:afterLines="50"/>
      </w:pPr>
      <w:r>
        <w:rPr>
          <w:rFonts w:hint="eastAsia"/>
        </w:rPr>
        <w:t>GB/T 35031.301 用户端能源管理系统 第3-1部分：子系统接口网关一般要求</w:t>
      </w:r>
    </w:p>
    <w:p w14:paraId="60493FF1">
      <w:pPr>
        <w:pStyle w:val="19"/>
        <w:spacing w:before="156" w:beforeLines="50" w:after="156" w:afterLines="50"/>
      </w:pPr>
      <w:r>
        <w:t xml:space="preserve">GB/T 32150 </w:t>
      </w:r>
      <w:r>
        <w:rPr>
          <w:rFonts w:hint="eastAsia"/>
        </w:rPr>
        <w:t>工业企业温室气体排放核算和报告通则</w:t>
      </w:r>
    </w:p>
    <w:p w14:paraId="7526D897">
      <w:pPr>
        <w:pStyle w:val="19"/>
        <w:spacing w:before="156" w:beforeLines="50" w:after="156" w:afterLines="50"/>
      </w:pPr>
      <w:r>
        <w:rPr>
          <w:rFonts w:hint="eastAsia"/>
        </w:rPr>
        <w:t>GB/T 32151 温室气体排放核算与报告要求</w:t>
      </w:r>
    </w:p>
    <w:p w14:paraId="6E50031A">
      <w:pPr>
        <w:pStyle w:val="19"/>
        <w:spacing w:before="156" w:beforeLines="50" w:after="156" w:afterLines="50"/>
      </w:pPr>
      <w:r>
        <w:rPr>
          <w:rFonts w:hint="eastAsia"/>
        </w:rPr>
        <w:t>GB/T 37934 信息安全技术 工业控制网络安全隔离与信息交换系统安全技术要求</w:t>
      </w:r>
    </w:p>
    <w:p w14:paraId="0E93EC2B">
      <w:pPr>
        <w:pStyle w:val="19"/>
        <w:spacing w:before="156" w:beforeLines="50" w:after="156" w:afterLines="50"/>
      </w:pPr>
      <w:r>
        <w:t xml:space="preserve">GB/T 40063 </w:t>
      </w:r>
      <w:r>
        <w:rPr>
          <w:rFonts w:hint="eastAsia"/>
        </w:rPr>
        <w:t>工业企业能源管控中心建设指南</w:t>
      </w:r>
    </w:p>
    <w:p w14:paraId="5BD7DA80">
      <w:pPr>
        <w:pStyle w:val="18"/>
        <w:numPr>
          <w:ilvl w:val="0"/>
          <w:numId w:val="2"/>
        </w:numPr>
        <w:spacing w:before="312" w:after="312"/>
        <w:outlineLvl w:val="0"/>
        <w:rPr>
          <w:rFonts w:hint="eastAsia" w:hAnsi="黑体" w:cs="Arial"/>
        </w:rPr>
      </w:pPr>
      <w:r>
        <w:rPr>
          <w:rFonts w:hint="eastAsia" w:hAnsi="黑体" w:cs="Arial"/>
        </w:rPr>
        <w:t>术语和定义</w:t>
      </w:r>
    </w:p>
    <w:p w14:paraId="02E65923">
      <w:pPr>
        <w:pStyle w:val="19"/>
        <w:spacing w:before="156" w:beforeLines="50" w:after="156" w:afterLines="50"/>
        <w:rPr>
          <w:rFonts w:hint="eastAsia" w:hAnsi="宋体" w:cs="Arial"/>
        </w:rPr>
      </w:pPr>
      <w:r>
        <w:rPr>
          <w:rFonts w:hAnsi="宋体"/>
        </w:rPr>
        <w:t>GB 17167</w:t>
      </w:r>
      <w:r>
        <w:rPr>
          <w:rFonts w:hint="eastAsia" w:hAnsi="宋体"/>
        </w:rPr>
        <w:t>、</w:t>
      </w:r>
      <w:r>
        <w:rPr>
          <w:rFonts w:hAnsi="宋体"/>
        </w:rPr>
        <w:t>GB/T 32150</w:t>
      </w:r>
      <w:r>
        <w:rPr>
          <w:rFonts w:hint="eastAsia" w:hAnsi="宋体"/>
        </w:rPr>
        <w:t>、GB/T 32151、GB/T 40063界定的以及下列术语和定义适用于本文件。</w:t>
      </w:r>
      <w:bookmarkStart w:id="0" w:name="_Toc8901191"/>
    </w:p>
    <w:p w14:paraId="59F65820">
      <w:pPr>
        <w:pStyle w:val="18"/>
        <w:numPr>
          <w:ilvl w:val="1"/>
          <w:numId w:val="3"/>
        </w:numPr>
        <w:spacing w:before="156" w:beforeLines="50" w:after="156" w:afterLines="50"/>
        <w:rPr>
          <w:rFonts w:hint="eastAsia" w:hAnsi="黑体" w:cs="Arial"/>
        </w:rPr>
      </w:pPr>
    </w:p>
    <w:p w14:paraId="5A9F973F">
      <w:pPr>
        <w:pStyle w:val="18"/>
        <w:numPr>
          <w:ilvl w:val="255"/>
          <w:numId w:val="0"/>
        </w:numPr>
        <w:spacing w:before="312" w:after="312"/>
        <w:ind w:firstLine="420" w:firstLineChars="200"/>
        <w:rPr>
          <w:rFonts w:hint="eastAsia" w:hAnsi="黑体" w:cs="Arial"/>
        </w:rPr>
      </w:pPr>
      <w:r>
        <w:rPr>
          <w:rFonts w:hint="eastAsia" w:hAnsi="黑体" w:cs="Arial"/>
        </w:rPr>
        <w:t>能碳管控中心</w:t>
      </w:r>
      <w:r>
        <w:rPr>
          <w:rFonts w:hAnsi="黑体" w:cs="Arial"/>
        </w:rPr>
        <w:t xml:space="preserve"> </w:t>
      </w:r>
      <w:r>
        <w:rPr>
          <w:rFonts w:hint="eastAsia" w:hAnsi="黑体" w:cs="Arial"/>
        </w:rPr>
        <w:t xml:space="preserve"> </w:t>
      </w:r>
      <w:r>
        <w:rPr>
          <w:rFonts w:hAnsi="黑体" w:cs="Arial"/>
        </w:rPr>
        <w:t xml:space="preserve">energy </w:t>
      </w:r>
      <w:r>
        <w:rPr>
          <w:rFonts w:hint="eastAsia" w:hAnsi="黑体" w:cs="Arial"/>
        </w:rPr>
        <w:t xml:space="preserve">and carbon </w:t>
      </w:r>
      <w:r>
        <w:rPr>
          <w:rFonts w:hAnsi="黑体" w:cs="Arial"/>
        </w:rPr>
        <w:t>management control center</w:t>
      </w:r>
    </w:p>
    <w:p w14:paraId="377A31A4">
      <w:pPr>
        <w:pStyle w:val="23"/>
        <w:adjustRightInd w:val="0"/>
        <w:spacing w:before="156" w:beforeLines="50" w:after="156" w:afterLines="50"/>
        <w:jc w:val="left"/>
      </w:pPr>
      <w:r>
        <w:rPr>
          <w:rFonts w:hint="eastAsia"/>
        </w:rPr>
        <w:t>指在工业企业内设立的专门负责能源使用和碳排放监控、管理、优化和碳排放报告生成、碳资产分析及节能降碳目标管理的数字化系统。</w:t>
      </w:r>
    </w:p>
    <w:bookmarkEnd w:id="0"/>
    <w:p w14:paraId="65CF2DAD">
      <w:pPr>
        <w:pStyle w:val="18"/>
        <w:numPr>
          <w:ilvl w:val="1"/>
          <w:numId w:val="3"/>
        </w:numPr>
        <w:spacing w:before="156" w:beforeLines="50" w:after="156" w:afterLines="50"/>
        <w:rPr>
          <w:rFonts w:hint="eastAsia" w:hAnsi="黑体" w:cs="Arial"/>
        </w:rPr>
      </w:pPr>
    </w:p>
    <w:p w14:paraId="58184287">
      <w:pPr>
        <w:pStyle w:val="18"/>
        <w:numPr>
          <w:ilvl w:val="255"/>
          <w:numId w:val="0"/>
        </w:numPr>
        <w:spacing w:before="312" w:after="312"/>
        <w:ind w:firstLine="420" w:firstLineChars="200"/>
        <w:rPr>
          <w:rFonts w:hint="eastAsia" w:hAnsi="黑体" w:cs="Arial"/>
        </w:rPr>
      </w:pPr>
      <w:r>
        <w:rPr>
          <w:rFonts w:hint="eastAsia" w:hAnsi="黑体" w:cs="Arial"/>
        </w:rPr>
        <w:t xml:space="preserve">碳排放 </w:t>
      </w:r>
      <w:r>
        <w:rPr>
          <w:rFonts w:hint="eastAsia" w:hAnsi="黑体"/>
          <w:bCs/>
          <w:szCs w:val="21"/>
        </w:rPr>
        <w:t>carbon emission</w:t>
      </w:r>
    </w:p>
    <w:p w14:paraId="35BD1879">
      <w:pPr>
        <w:pStyle w:val="23"/>
        <w:adjustRightInd w:val="0"/>
        <w:spacing w:line="311" w:lineRule="atLeast"/>
        <w:jc w:val="left"/>
        <w:rPr>
          <w:rFonts w:hint="eastAsia" w:asciiTheme="minorEastAsia" w:hAnsiTheme="minorEastAsia" w:eastAsiaTheme="minorEastAsia"/>
        </w:rPr>
      </w:pPr>
      <w:r>
        <w:rPr>
          <w:rFonts w:hint="eastAsia" w:asciiTheme="minorEastAsia" w:hAnsiTheme="minorEastAsia" w:eastAsiaTheme="minorEastAsia"/>
        </w:rPr>
        <w:t>在特定时段内，工业企业向大气中释放二氧化碳的过程。</w:t>
      </w:r>
    </w:p>
    <w:p w14:paraId="3260B539">
      <w:pPr>
        <w:pStyle w:val="18"/>
        <w:numPr>
          <w:ilvl w:val="255"/>
          <w:numId w:val="0"/>
        </w:numPr>
        <w:spacing w:before="312" w:after="312"/>
        <w:rPr>
          <w:rFonts w:hint="eastAsia" w:hAnsi="黑体" w:cs="Arial"/>
        </w:rPr>
      </w:pPr>
      <w:r>
        <w:rPr>
          <w:rFonts w:hint="eastAsia" w:hAnsi="黑体" w:cs="Arial"/>
        </w:rPr>
        <w:t xml:space="preserve">3.3 </w:t>
      </w:r>
    </w:p>
    <w:p w14:paraId="43150853">
      <w:pPr>
        <w:pStyle w:val="18"/>
        <w:numPr>
          <w:ilvl w:val="255"/>
          <w:numId w:val="0"/>
        </w:numPr>
        <w:spacing w:before="312" w:after="312"/>
        <w:ind w:firstLine="420" w:firstLineChars="200"/>
        <w:rPr>
          <w:rFonts w:hint="eastAsia" w:hAnsi="黑体" w:cs="Arial"/>
        </w:rPr>
      </w:pPr>
      <w:r>
        <w:rPr>
          <w:rFonts w:hint="eastAsia" w:hAnsi="黑体" w:cs="Arial"/>
        </w:rPr>
        <w:t>组织碳排放核算 organization carbon emission</w:t>
      </w:r>
    </w:p>
    <w:p w14:paraId="18ED2FF9">
      <w:pPr>
        <w:pStyle w:val="23"/>
        <w:adjustRightInd w:val="0"/>
        <w:spacing w:before="156" w:beforeLines="50" w:after="156" w:afterLines="50"/>
        <w:jc w:val="left"/>
      </w:pPr>
      <w:r>
        <w:rPr>
          <w:rFonts w:hint="eastAsia"/>
        </w:rPr>
        <w:t>指工业企业为主体经营管控边界范围内的碳排放量核算过程。</w:t>
      </w:r>
    </w:p>
    <w:p w14:paraId="5E561270">
      <w:pPr>
        <w:pStyle w:val="18"/>
        <w:numPr>
          <w:ilvl w:val="0"/>
          <w:numId w:val="3"/>
        </w:numPr>
        <w:spacing w:before="312" w:after="312"/>
        <w:ind w:left="361" w:hanging="361" w:hangingChars="172"/>
        <w:outlineLvl w:val="0"/>
        <w:rPr>
          <w:rFonts w:hint="eastAsia" w:hAnsi="黑体" w:cs="Arial"/>
        </w:rPr>
      </w:pPr>
      <w:r>
        <w:rPr>
          <w:rFonts w:hint="eastAsia" w:hAnsi="黑体" w:cs="Arial"/>
        </w:rPr>
        <w:t>缩略语</w:t>
      </w:r>
    </w:p>
    <w:p w14:paraId="270E2842">
      <w:pPr>
        <w:pStyle w:val="18"/>
        <w:numPr>
          <w:ilvl w:val="255"/>
          <w:numId w:val="0"/>
        </w:numPr>
        <w:spacing w:before="312" w:after="312"/>
        <w:ind w:firstLine="420" w:firstLineChars="200"/>
        <w:rPr>
          <w:rFonts w:ascii="Calibri" w:hAnsi="Calibri" w:eastAsia="宋体"/>
          <w:kern w:val="2"/>
          <w:szCs w:val="22"/>
        </w:rPr>
      </w:pPr>
      <w:r>
        <w:rPr>
          <w:rFonts w:hint="eastAsia" w:ascii="Calibri" w:hAnsi="Calibri" w:eastAsia="宋体"/>
          <w:kern w:val="2"/>
          <w:szCs w:val="22"/>
        </w:rPr>
        <w:t>API：应用程序编程接口（Application Programming Interface）。</w:t>
      </w:r>
    </w:p>
    <w:p w14:paraId="652B3016">
      <w:pPr>
        <w:pStyle w:val="18"/>
        <w:numPr>
          <w:ilvl w:val="0"/>
          <w:numId w:val="3"/>
        </w:numPr>
        <w:spacing w:before="312" w:after="312"/>
        <w:ind w:left="361" w:hanging="361" w:hangingChars="172"/>
        <w:outlineLvl w:val="0"/>
        <w:rPr>
          <w:rFonts w:hint="eastAsia" w:ascii="宋体" w:hAnsi="宋体" w:cs="宋体"/>
        </w:rPr>
      </w:pPr>
      <w:r>
        <w:rPr>
          <w:rFonts w:hint="eastAsia" w:hAnsi="黑体" w:cs="Arial"/>
        </w:rPr>
        <w:t>基本原则</w:t>
      </w:r>
    </w:p>
    <w:p w14:paraId="44E09A1A">
      <w:pPr>
        <w:pStyle w:val="18"/>
        <w:numPr>
          <w:ilvl w:val="1"/>
          <w:numId w:val="3"/>
        </w:numPr>
        <w:spacing w:before="156" w:beforeLines="50" w:after="156" w:afterLines="50"/>
        <w:outlineLvl w:val="0"/>
        <w:rPr>
          <w:rFonts w:hint="eastAsia" w:ascii="宋体" w:hAnsi="宋体" w:eastAsia="宋体" w:cs="宋体"/>
        </w:rPr>
      </w:pPr>
      <w:r>
        <w:rPr>
          <w:rFonts w:hint="eastAsia" w:ascii="宋体" w:hAnsi="宋体" w:eastAsia="宋体" w:cs="宋体"/>
        </w:rPr>
        <w:t>工业企业应按照GB/T 40063的有关规定，建立工业企业能源管控中心，并按照GB/T 32150的有关规定，开展碳排放核算和报告，工业企业应按照GB/T 40063规定能耗实时监测原则对能源利用状况进行实时监测。同时根据企业生产工艺流程和生产管理的要求进行企业碳排放总量和碳排放强度实时监测、核算、分析与展示。</w:t>
      </w:r>
    </w:p>
    <w:p w14:paraId="7784B6AD">
      <w:pPr>
        <w:pStyle w:val="18"/>
        <w:numPr>
          <w:ilvl w:val="1"/>
          <w:numId w:val="3"/>
        </w:numPr>
        <w:spacing w:before="156" w:beforeLines="50" w:after="156" w:afterLines="50"/>
        <w:rPr>
          <w:rFonts w:hint="eastAsia" w:ascii="宋体" w:hAnsi="宋体" w:eastAsia="宋体" w:cs="宋体"/>
        </w:rPr>
      </w:pPr>
      <w:r>
        <w:rPr>
          <w:rFonts w:hint="eastAsia" w:ascii="宋体" w:hAnsi="宋体" w:eastAsia="宋体" w:cs="宋体"/>
        </w:rPr>
        <w:t>工业企业能碳管控中心应结合企业自身能源管理规划、碳排放管理目标和信息化发展的总体要求，科学统筹规划，功能上满足国家对节能降碳总体目标要求和企业未来长期发展需要。</w:t>
      </w:r>
    </w:p>
    <w:p w14:paraId="396105E1">
      <w:pPr>
        <w:pStyle w:val="18"/>
        <w:numPr>
          <w:ilvl w:val="0"/>
          <w:numId w:val="3"/>
        </w:numPr>
        <w:spacing w:before="312" w:after="312"/>
        <w:ind w:left="361" w:hanging="361" w:hangingChars="172"/>
        <w:outlineLvl w:val="0"/>
        <w:rPr>
          <w:rFonts w:hint="eastAsia" w:hAnsi="黑体" w:cs="Arial"/>
        </w:rPr>
      </w:pPr>
      <w:r>
        <w:rPr>
          <w:rFonts w:hint="eastAsia" w:hAnsi="黑体" w:cs="Arial"/>
        </w:rPr>
        <w:t>一般要求</w:t>
      </w:r>
    </w:p>
    <w:p w14:paraId="5A2B6C77">
      <w:pPr>
        <w:pStyle w:val="18"/>
        <w:numPr>
          <w:ilvl w:val="1"/>
          <w:numId w:val="3"/>
        </w:numPr>
        <w:spacing w:before="312" w:beforeLines="0" w:after="312" w:afterLines="0"/>
        <w:rPr>
          <w:rFonts w:hint="eastAsia" w:hAnsi="黑体" w:cs="Arial"/>
        </w:rPr>
      </w:pPr>
      <w:r>
        <w:rPr>
          <w:rFonts w:hint="eastAsia" w:hAnsi="黑体" w:cs="Arial"/>
        </w:rPr>
        <w:t>能耗与碳排放实时监测</w:t>
      </w:r>
    </w:p>
    <w:p w14:paraId="4EED085E">
      <w:pPr>
        <w:spacing w:before="156" w:beforeLines="50" w:after="156" w:afterLines="50"/>
        <w:ind w:firstLine="420" w:firstLineChars="200"/>
      </w:pPr>
      <w:r>
        <w:rPr>
          <w:rFonts w:hint="eastAsia" w:ascii="宋体" w:hAnsi="宋体" w:cs="宋体"/>
          <w:szCs w:val="21"/>
          <w:shd w:val="clear" w:color="auto" w:fill="FFFFFF"/>
        </w:rPr>
        <w:t>工业企业应依据生产工艺流程以及自身生产管理组织模式，在关键节点为工业企业整体及主要用能设备合理安装能源与碳计量器具，构建依托企业内部工业控制网络的能源及碳排放计量监控网络。通过对各类能源计量器具与碳计量器具进行实时、在线的数据采集，获取分类、分项的实时能耗数据以及碳排放数据，同步采集生产系统、管理系统内的关联数据以及产品产量数据，实现对工业企业能源利用状况与碳排放水平的实时监测</w:t>
      </w:r>
      <w:r>
        <w:rPr>
          <w:rFonts w:hint="eastAsia" w:ascii="宋体" w:hAnsi="宋体" w:cs="宋体"/>
          <w:szCs w:val="21"/>
        </w:rPr>
        <w:t>。</w:t>
      </w:r>
    </w:p>
    <w:p w14:paraId="7666D0A4">
      <w:pPr>
        <w:pStyle w:val="18"/>
        <w:numPr>
          <w:ilvl w:val="1"/>
          <w:numId w:val="3"/>
        </w:numPr>
        <w:spacing w:before="312" w:beforeLines="0" w:after="312" w:afterLines="0"/>
        <w:rPr>
          <w:rFonts w:hint="eastAsia" w:hAnsi="黑体" w:cs="Arial"/>
        </w:rPr>
      </w:pPr>
      <w:r>
        <w:rPr>
          <w:rFonts w:hint="eastAsia" w:hAnsi="黑体" w:cs="Arial"/>
        </w:rPr>
        <w:t>能效与碳排放优化措施</w:t>
      </w:r>
    </w:p>
    <w:p w14:paraId="615F2341">
      <w:pPr>
        <w:spacing w:before="156" w:beforeLines="50" w:after="156" w:afterLines="50"/>
        <w:ind w:firstLine="420" w:firstLineChars="200"/>
        <w:rPr>
          <w:rFonts w:hint="eastAsia" w:ascii="宋体" w:hAnsi="宋体" w:cs="宋体"/>
          <w:szCs w:val="21"/>
          <w:shd w:val="clear" w:color="auto" w:fill="FFFFFF"/>
        </w:rPr>
      </w:pPr>
      <w:r>
        <w:rPr>
          <w:rFonts w:hint="eastAsia" w:ascii="宋体" w:hAnsi="宋体" w:cs="宋体"/>
          <w:szCs w:val="21"/>
          <w:shd w:val="clear" w:color="auto" w:fill="FFFFFF"/>
        </w:rPr>
        <w:t>工业企业按照内部工艺流程建立的工序能耗与碳排放定额，对企业、主要用能设备和主要工序进行能源利用效率评估，通过能效对标对生产的全流程的各工序进行节能挖潜，制定提高能源利用效率、降低能源消耗量、降低碳排放量的工艺操作模式和管理方法，对具备控制条件的用能系统进行节能优化控制。结合地域可再生能源资源，如太阳能、风能、生物质能，利用光伏发电、风力发电、生物质能供热发电等方式，优化企业能源结构，提高能效与减少碳排放。</w:t>
      </w:r>
    </w:p>
    <w:p w14:paraId="19D8623C">
      <w:pPr>
        <w:pStyle w:val="18"/>
        <w:numPr>
          <w:ilvl w:val="1"/>
          <w:numId w:val="3"/>
        </w:numPr>
        <w:spacing w:before="312" w:beforeLines="0" w:after="312" w:afterLines="0"/>
        <w:rPr>
          <w:rFonts w:hint="eastAsia" w:hAnsi="黑体" w:cs="Arial"/>
        </w:rPr>
      </w:pPr>
      <w:r>
        <w:rPr>
          <w:rFonts w:hint="eastAsia" w:hAnsi="黑体" w:cs="Arial"/>
        </w:rPr>
        <w:t>组织边界明确</w:t>
      </w:r>
    </w:p>
    <w:p w14:paraId="1D3D67AC">
      <w:pPr>
        <w:spacing w:before="156" w:beforeLines="50" w:after="156" w:afterLines="50"/>
        <w:ind w:firstLine="420" w:firstLineChars="200"/>
        <w:rPr>
          <w:rFonts w:hint="eastAsia" w:ascii="宋体" w:hAnsi="宋体" w:cs="宋体"/>
          <w:szCs w:val="21"/>
          <w:shd w:val="clear" w:color="auto" w:fill="FFFFFF"/>
        </w:rPr>
      </w:pPr>
      <w:r>
        <w:rPr>
          <w:rFonts w:hint="eastAsia" w:ascii="宋体" w:hAnsi="宋体" w:cs="宋体"/>
          <w:szCs w:val="21"/>
          <w:shd w:val="clear" w:color="auto" w:fill="FFFFFF"/>
        </w:rPr>
        <w:t>工业企业能碳管控中心建设应确定本企业能源和碳排放核算边界与涉及的时间范围，应以企业法人或视同法人的独立核算单位为边界，核算和报告其生产系统产生的能耗和碳排放，核算边界的确定宜参考设施和业务范围及生产工艺流程图。</w:t>
      </w:r>
    </w:p>
    <w:p w14:paraId="57BEFD16">
      <w:pPr>
        <w:pStyle w:val="18"/>
        <w:numPr>
          <w:ilvl w:val="1"/>
          <w:numId w:val="3"/>
        </w:numPr>
        <w:spacing w:before="312" w:beforeLines="0" w:after="312" w:afterLines="0"/>
        <w:rPr>
          <w:rFonts w:hint="eastAsia" w:hAnsi="黑体" w:cs="Arial"/>
        </w:rPr>
      </w:pPr>
      <w:r>
        <w:rPr>
          <w:rFonts w:hint="eastAsia" w:hAnsi="黑体" w:cs="Arial"/>
        </w:rPr>
        <w:t>能碳综合管理</w:t>
      </w:r>
    </w:p>
    <w:p w14:paraId="55001965">
      <w:pPr>
        <w:spacing w:before="156" w:beforeLines="50" w:after="156" w:afterLines="50"/>
        <w:ind w:firstLine="420" w:firstLineChars="200"/>
        <w:rPr>
          <w:rFonts w:hint="eastAsia" w:ascii="宋体" w:hAnsi="宋体" w:cs="宋体"/>
          <w:szCs w:val="21"/>
          <w:shd w:val="clear" w:color="auto" w:fill="FFFFFF"/>
        </w:rPr>
      </w:pPr>
      <w:r>
        <w:rPr>
          <w:rFonts w:hint="eastAsia" w:ascii="宋体" w:hAnsi="宋体" w:cs="宋体"/>
          <w:szCs w:val="21"/>
          <w:shd w:val="clear" w:color="auto" w:fill="FFFFFF"/>
        </w:rPr>
        <w:t>工业企业建立集能源和碳排放在线监测、分析、管理、控制、考核和可视化展示于一体的能碳管控中心，满足企业能源的精细化管理的需求。</w:t>
      </w:r>
    </w:p>
    <w:p w14:paraId="7FDB20D0">
      <w:pPr>
        <w:pStyle w:val="18"/>
        <w:numPr>
          <w:ilvl w:val="1"/>
          <w:numId w:val="3"/>
        </w:numPr>
        <w:spacing w:before="312" w:beforeLines="0" w:after="312" w:afterLines="0"/>
        <w:rPr>
          <w:rFonts w:hint="eastAsia" w:hAnsi="黑体" w:cs="Arial"/>
        </w:rPr>
      </w:pPr>
      <w:r>
        <w:rPr>
          <w:rFonts w:hint="eastAsia" w:hAnsi="黑体" w:cs="Arial"/>
        </w:rPr>
        <w:t>信息融合</w:t>
      </w:r>
    </w:p>
    <w:p w14:paraId="1486C5B3">
      <w:pPr>
        <w:pStyle w:val="18"/>
        <w:numPr>
          <w:ilvl w:val="2"/>
          <w:numId w:val="3"/>
        </w:numPr>
        <w:spacing w:before="312" w:beforeLines="0" w:after="312" w:afterLines="0"/>
        <w:ind w:hanging="2137"/>
        <w:rPr>
          <w:rFonts w:hint="eastAsia" w:ascii="宋体" w:hAnsi="宋体" w:eastAsia="宋体" w:cs="宋体"/>
        </w:rPr>
      </w:pPr>
      <w:r>
        <w:rPr>
          <w:rFonts w:hint="eastAsia" w:ascii="宋体" w:hAnsi="宋体" w:eastAsia="宋体" w:cs="宋体"/>
        </w:rPr>
        <w:t>工业企业能碳管控中心宜预留数据上报接口，满足相关各级政府主管部门数据上报要求。</w:t>
      </w:r>
    </w:p>
    <w:p w14:paraId="115B1A81">
      <w:pPr>
        <w:pStyle w:val="18"/>
        <w:numPr>
          <w:ilvl w:val="2"/>
          <w:numId w:val="3"/>
        </w:numPr>
        <w:spacing w:before="312" w:beforeLines="0" w:after="312" w:afterLines="0"/>
        <w:ind w:hanging="2137"/>
        <w:rPr>
          <w:rFonts w:hint="eastAsia" w:ascii="宋体" w:hAnsi="宋体" w:eastAsia="宋体" w:cs="宋体"/>
        </w:rPr>
      </w:pPr>
      <w:r>
        <w:rPr>
          <w:rFonts w:hint="eastAsia" w:ascii="宋体" w:hAnsi="宋体" w:eastAsia="宋体" w:cs="宋体"/>
        </w:rPr>
        <w:t>工业企业宜发挥已有数据资源作用，建立数据交换融合接口，实现企业数据资源共享与信息融合。</w:t>
      </w:r>
    </w:p>
    <w:p w14:paraId="6F147C5C">
      <w:pPr>
        <w:pStyle w:val="18"/>
        <w:numPr>
          <w:ilvl w:val="0"/>
          <w:numId w:val="3"/>
        </w:numPr>
        <w:spacing w:before="312" w:beforeLines="0" w:after="312" w:afterLines="0"/>
        <w:ind w:left="361" w:hanging="361" w:hangingChars="172"/>
        <w:outlineLvl w:val="0"/>
        <w:rPr>
          <w:rFonts w:hint="eastAsia" w:hAnsi="黑体" w:cs="Arial"/>
        </w:rPr>
      </w:pPr>
      <w:r>
        <w:rPr>
          <w:rFonts w:hint="eastAsia" w:hAnsi="黑体" w:cs="Arial"/>
        </w:rPr>
        <w:t>系统架构</w:t>
      </w:r>
    </w:p>
    <w:p w14:paraId="7FF3C9C8">
      <w:pPr>
        <w:pStyle w:val="18"/>
        <w:numPr>
          <w:ilvl w:val="1"/>
          <w:numId w:val="3"/>
        </w:numPr>
        <w:spacing w:before="312" w:beforeLines="0" w:after="312" w:afterLines="0"/>
        <w:rPr>
          <w:rFonts w:hint="eastAsia" w:hAnsi="黑体" w:cs="Arial"/>
        </w:rPr>
      </w:pPr>
      <w:r>
        <w:rPr>
          <w:rFonts w:hint="eastAsia" w:hAnsi="黑体" w:cs="Arial"/>
        </w:rPr>
        <w:t>系统架构层级</w:t>
      </w:r>
    </w:p>
    <w:p w14:paraId="4691014E">
      <w:pPr>
        <w:spacing w:before="156" w:beforeLines="50" w:after="156" w:afterLines="50"/>
        <w:ind w:left="361" w:firstLine="420" w:firstLineChars="200"/>
        <w:rPr>
          <w:rFonts w:hint="eastAsia" w:ascii="宋体" w:hAnsi="宋体" w:cs="宋体"/>
          <w:szCs w:val="21"/>
          <w:shd w:val="clear" w:color="auto" w:fill="FFFFFF"/>
        </w:rPr>
      </w:pPr>
      <w:r>
        <w:rPr>
          <w:rFonts w:hint="eastAsia" w:ascii="宋体" w:hAnsi="宋体" w:cs="宋体"/>
          <w:szCs w:val="21"/>
          <w:shd w:val="clear" w:color="auto" w:fill="FFFFFF"/>
        </w:rPr>
        <w:t>工业企业能碳管控中心宜按照数据采集传输层，数据安全层、数据管理层，平台算法层、业务功能层五个层次结构开发建设，系统架构的层级搭建可参考图1。</w:t>
      </w:r>
    </w:p>
    <w:p w14:paraId="43EBECB8">
      <w:pPr>
        <w:spacing w:before="157" w:after="157"/>
        <w:jc w:val="center"/>
        <w:rPr>
          <w:rFonts w:hint="eastAsia" w:ascii="宋体" w:hAnsi="宋体" w:cs="宋体"/>
        </w:rPr>
      </w:pPr>
      <w:r>
        <w:drawing>
          <wp:inline distT="0" distB="0" distL="114300" distR="114300">
            <wp:extent cx="5933440" cy="3287395"/>
            <wp:effectExtent l="0" t="0" r="10160" b="444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8"/>
                    <a:stretch>
                      <a:fillRect/>
                    </a:stretch>
                  </pic:blipFill>
                  <pic:spPr>
                    <a:xfrm>
                      <a:off x="0" y="0"/>
                      <a:ext cx="5933440" cy="3287395"/>
                    </a:xfrm>
                    <a:prstGeom prst="rect">
                      <a:avLst/>
                    </a:prstGeom>
                    <a:noFill/>
                    <a:ln>
                      <a:noFill/>
                    </a:ln>
                  </pic:spPr>
                </pic:pic>
              </a:graphicData>
            </a:graphic>
          </wp:inline>
        </w:drawing>
      </w:r>
      <w:r>
        <w:rPr>
          <w:rFonts w:hint="eastAsia" w:ascii="宋体" w:hAnsi="宋体" w:cs="宋体"/>
        </w:rPr>
        <w:t>图1 系统架构图</w:t>
      </w:r>
    </w:p>
    <w:p w14:paraId="4CE53173">
      <w:pPr>
        <w:pStyle w:val="18"/>
        <w:numPr>
          <w:ilvl w:val="1"/>
          <w:numId w:val="3"/>
        </w:numPr>
        <w:spacing w:before="312" w:beforeLines="0" w:after="312" w:afterLines="0"/>
        <w:rPr>
          <w:rFonts w:hint="eastAsia" w:hAnsi="黑体" w:cs="Arial"/>
        </w:rPr>
      </w:pPr>
      <w:r>
        <w:rPr>
          <w:rFonts w:hint="eastAsia" w:hAnsi="黑体" w:cs="Arial"/>
        </w:rPr>
        <w:t>采集传输层</w:t>
      </w:r>
    </w:p>
    <w:p w14:paraId="0FA6E41E">
      <w:pPr>
        <w:pStyle w:val="18"/>
        <w:numPr>
          <w:ilvl w:val="2"/>
          <w:numId w:val="3"/>
        </w:numPr>
        <w:spacing w:before="312" w:beforeLines="0" w:after="312" w:afterLines="0"/>
        <w:ind w:left="17" w:hanging="17"/>
        <w:outlineLvl w:val="2"/>
        <w:rPr>
          <w:rFonts w:ascii="Segoe UI" w:hAnsi="Segoe UI" w:eastAsia="宋体" w:cs="Segoe UI"/>
          <w:sz w:val="19"/>
          <w:szCs w:val="19"/>
          <w:shd w:val="clear" w:color="auto" w:fill="FFFFFF"/>
        </w:rPr>
      </w:pPr>
      <w:r>
        <w:rPr>
          <w:rFonts w:hint="eastAsia" w:ascii="Helvetica" w:hAnsi="Helvetica" w:cs="Helvetica"/>
          <w:spacing w:val="8"/>
          <w:szCs w:val="21"/>
        </w:rPr>
        <w:t>采集对象</w:t>
      </w:r>
    </w:p>
    <w:p w14:paraId="108A167D">
      <w:pPr>
        <w:pStyle w:val="18"/>
        <w:numPr>
          <w:ilvl w:val="3"/>
          <w:numId w:val="3"/>
        </w:numPr>
        <w:spacing w:before="156" w:beforeLines="50" w:after="156" w:afterLines="50"/>
        <w:ind w:hanging="3660"/>
        <w:outlineLvl w:val="3"/>
        <w:rPr>
          <w:rFonts w:hint="eastAsia" w:ascii="宋体" w:hAnsi="宋体" w:eastAsia="宋体" w:cs="宋体"/>
          <w:szCs w:val="21"/>
          <w:shd w:val="clear" w:color="auto" w:fill="FFFFFF"/>
        </w:rPr>
      </w:pPr>
      <w:r>
        <w:rPr>
          <w:rFonts w:hint="eastAsia" w:ascii="宋体" w:hAnsi="宋体" w:eastAsia="宋体" w:cs="宋体"/>
          <w:szCs w:val="21"/>
          <w:shd w:val="clear" w:color="auto" w:fill="FFFFFF"/>
        </w:rPr>
        <w:t>在企业核算边界内采集以下关键信息：</w:t>
      </w:r>
    </w:p>
    <w:p w14:paraId="1C8D66BF">
      <w:pPr>
        <w:pStyle w:val="13"/>
        <w:numPr>
          <w:ilvl w:val="0"/>
          <w:numId w:val="4"/>
        </w:numPr>
        <w:spacing w:before="156" w:beforeLines="50" w:after="156" w:afterLines="50"/>
        <w:ind w:firstLine="420"/>
        <w:rPr>
          <w:rFonts w:hint="eastAsia" w:ascii="宋体" w:hAnsi="宋体" w:eastAsia="宋体"/>
          <w:sz w:val="21"/>
          <w:szCs w:val="21"/>
          <w:shd w:val="clear" w:color="auto" w:fill="FFFFFF"/>
        </w:rPr>
      </w:pPr>
      <w:r>
        <w:rPr>
          <w:rFonts w:hint="eastAsia" w:ascii="宋体" w:hAnsi="宋体" w:eastAsia="宋体"/>
          <w:sz w:val="21"/>
          <w:szCs w:val="21"/>
          <w:shd w:val="clear" w:color="auto" w:fill="FFFFFF"/>
        </w:rPr>
        <w:t>能源及载能工质消耗数据，包含外购煤、气、油、电等传统能源，企业自产自用的光伏、风电、生物质能等可再生能源及余热回收利用能源等，</w:t>
      </w:r>
    </w:p>
    <w:p w14:paraId="77AB5CBD">
      <w:pPr>
        <w:pStyle w:val="13"/>
        <w:numPr>
          <w:ilvl w:val="0"/>
          <w:numId w:val="4"/>
        </w:numPr>
        <w:spacing w:before="156" w:beforeLines="50" w:after="156" w:afterLines="50"/>
        <w:ind w:firstLine="420"/>
        <w:rPr>
          <w:rFonts w:hint="eastAsia" w:ascii="宋体" w:hAnsi="宋体" w:eastAsia="宋体"/>
          <w:sz w:val="21"/>
          <w:szCs w:val="21"/>
        </w:rPr>
      </w:pPr>
      <w:r>
        <w:rPr>
          <w:rFonts w:hint="eastAsia" w:ascii="宋体" w:hAnsi="宋体" w:eastAsia="宋体"/>
          <w:sz w:val="21"/>
          <w:szCs w:val="21"/>
          <w:shd w:val="clear" w:color="auto" w:fill="FFFFFF"/>
        </w:rPr>
        <w:t>生产及辅助生产过程中控制系统参数，如设备温度、压力、流量等，反映各环节运行状态，</w:t>
      </w:r>
    </w:p>
    <w:p w14:paraId="0411B713">
      <w:pPr>
        <w:pStyle w:val="13"/>
        <w:numPr>
          <w:ilvl w:val="0"/>
          <w:numId w:val="4"/>
        </w:numPr>
        <w:spacing w:before="156" w:beforeLines="50" w:after="156" w:afterLines="50"/>
        <w:ind w:firstLine="420"/>
        <w:rPr>
          <w:rFonts w:hint="eastAsia" w:ascii="宋体" w:hAnsi="宋体" w:eastAsia="宋体"/>
          <w:sz w:val="21"/>
          <w:szCs w:val="21"/>
        </w:rPr>
      </w:pPr>
      <w:r>
        <w:rPr>
          <w:rFonts w:hint="eastAsia" w:ascii="宋体" w:hAnsi="宋体" w:eastAsia="宋体"/>
          <w:sz w:val="21"/>
          <w:szCs w:val="21"/>
          <w:shd w:val="clear" w:color="auto" w:fill="FFFFFF"/>
        </w:rPr>
        <w:t>含碳原料物料消耗数据，包含石灰石、白云石、外购生铁、铁合金、炭阳极等原料使用量，</w:t>
      </w:r>
    </w:p>
    <w:p w14:paraId="36A9037C">
      <w:pPr>
        <w:pStyle w:val="13"/>
        <w:numPr>
          <w:ilvl w:val="0"/>
          <w:numId w:val="4"/>
        </w:numPr>
        <w:spacing w:before="156" w:beforeLines="50" w:after="156" w:afterLines="50"/>
        <w:ind w:firstLine="420"/>
        <w:rPr>
          <w:rFonts w:hint="eastAsia" w:ascii="宋体" w:hAnsi="宋体" w:eastAsia="宋体"/>
          <w:sz w:val="21"/>
          <w:szCs w:val="21"/>
        </w:rPr>
      </w:pPr>
      <w:r>
        <w:rPr>
          <w:rFonts w:hint="eastAsia" w:ascii="宋体" w:hAnsi="宋体" w:eastAsia="宋体"/>
          <w:sz w:val="21"/>
          <w:szCs w:val="21"/>
          <w:shd w:val="clear" w:color="auto" w:fill="FFFFFF"/>
        </w:rPr>
        <w:t>废弃物回收再利用数据，</w:t>
      </w:r>
    </w:p>
    <w:p w14:paraId="0CF76CA3">
      <w:pPr>
        <w:pStyle w:val="13"/>
        <w:numPr>
          <w:ilvl w:val="0"/>
          <w:numId w:val="4"/>
        </w:numPr>
        <w:spacing w:before="156" w:beforeLines="50" w:after="156" w:afterLines="50"/>
        <w:ind w:firstLine="420"/>
        <w:rPr>
          <w:rFonts w:hint="eastAsia" w:ascii="宋体" w:hAnsi="宋体" w:eastAsia="宋体"/>
          <w:sz w:val="21"/>
          <w:szCs w:val="21"/>
        </w:rPr>
      </w:pPr>
      <w:r>
        <w:rPr>
          <w:rFonts w:hint="eastAsia" w:ascii="宋体" w:hAnsi="宋体" w:eastAsia="宋体"/>
          <w:sz w:val="21"/>
          <w:szCs w:val="21"/>
          <w:shd w:val="clear" w:color="auto" w:fill="FFFFFF"/>
        </w:rPr>
        <w:t>主要产品产量、产值等经济指标，</w:t>
      </w:r>
    </w:p>
    <w:p w14:paraId="0B0F72B9">
      <w:pPr>
        <w:pStyle w:val="13"/>
        <w:numPr>
          <w:ilvl w:val="0"/>
          <w:numId w:val="4"/>
        </w:numPr>
        <w:spacing w:before="156" w:beforeLines="50" w:after="156" w:afterLines="50"/>
        <w:ind w:firstLine="420"/>
        <w:rPr>
          <w:rFonts w:hint="eastAsia" w:ascii="宋体" w:hAnsi="宋体" w:eastAsia="宋体"/>
          <w:sz w:val="21"/>
          <w:szCs w:val="21"/>
        </w:rPr>
      </w:pPr>
      <w:r>
        <w:rPr>
          <w:rFonts w:hint="eastAsia" w:ascii="宋体" w:hAnsi="宋体" w:eastAsia="宋体"/>
          <w:sz w:val="21"/>
          <w:szCs w:val="21"/>
          <w:shd w:val="clear" w:color="auto" w:fill="FFFFFF"/>
        </w:rPr>
        <w:t>温室气体排放监测数据。</w:t>
      </w:r>
    </w:p>
    <w:p w14:paraId="6AB0DDF3">
      <w:pPr>
        <w:pStyle w:val="18"/>
        <w:numPr>
          <w:ilvl w:val="3"/>
          <w:numId w:val="3"/>
        </w:numPr>
        <w:spacing w:before="156" w:beforeLines="50" w:after="156" w:afterLines="50"/>
        <w:ind w:hanging="3660"/>
        <w:outlineLvl w:val="3"/>
        <w:rPr>
          <w:rFonts w:hint="eastAsia" w:ascii="宋体" w:hAnsi="宋体" w:eastAsia="宋体" w:cs="宋体"/>
          <w:szCs w:val="21"/>
          <w:shd w:val="clear" w:color="auto" w:fill="FFFFFF"/>
        </w:rPr>
      </w:pPr>
      <w:r>
        <w:rPr>
          <w:rFonts w:hint="eastAsia" w:ascii="宋体" w:hAnsi="宋体" w:eastAsia="宋体" w:cs="宋体"/>
          <w:szCs w:val="21"/>
          <w:shd w:val="clear" w:color="auto" w:fill="FFFFFF"/>
        </w:rPr>
        <w:t>数据采集宜遵循分类、分项统计要求：</w:t>
      </w:r>
    </w:p>
    <w:p w14:paraId="1E3F9CB4">
      <w:pPr>
        <w:pStyle w:val="13"/>
        <w:numPr>
          <w:ilvl w:val="0"/>
          <w:numId w:val="5"/>
        </w:numPr>
        <w:spacing w:before="156" w:beforeLines="50" w:after="156" w:afterLines="50"/>
        <w:ind w:firstLine="420"/>
        <w:rPr>
          <w:rFonts w:hint="eastAsia" w:ascii="宋体" w:hAnsi="宋体" w:eastAsia="宋体"/>
          <w:sz w:val="21"/>
          <w:szCs w:val="21"/>
          <w:shd w:val="clear" w:color="auto" w:fill="FFFFFF"/>
        </w:rPr>
      </w:pPr>
      <w:r>
        <w:rPr>
          <w:rFonts w:hint="eastAsia" w:ascii="宋体" w:hAnsi="宋体" w:eastAsia="宋体"/>
          <w:sz w:val="21"/>
          <w:szCs w:val="21"/>
          <w:shd w:val="clear" w:color="auto" w:fill="FFFFFF"/>
        </w:rPr>
        <w:t>分类是按能源消耗类型、载能工质种类、含碳原料划分的统计方式，宜包含外购能源（煤、气、油、电等）、工业企业自产自用能源（可再生能源、余热回收利用能源等）及含碳原料（石灰石、白云石、外购生铁、铁合金、炭阳极等）。碳排放</w:t>
      </w:r>
      <w:r>
        <w:rPr>
          <w:rFonts w:hint="eastAsia" w:ascii="宋体" w:hAnsi="宋体"/>
          <w:sz w:val="21"/>
          <w:szCs w:val="21"/>
          <w:shd w:val="clear" w:color="auto" w:fill="FFFFFF"/>
        </w:rPr>
        <w:t>监测</w:t>
      </w:r>
      <w:r>
        <w:rPr>
          <w:rFonts w:hint="eastAsia" w:ascii="宋体" w:hAnsi="宋体" w:eastAsia="宋体"/>
          <w:sz w:val="21"/>
          <w:szCs w:val="21"/>
          <w:shd w:val="clear" w:color="auto" w:fill="FFFFFF"/>
        </w:rPr>
        <w:t>按照温室气体种类分类，即：</w:t>
      </w:r>
      <w:r>
        <w:rPr>
          <w:rFonts w:hint="eastAsia" w:ascii="宋体" w:hAnsi="宋体" w:eastAsia="宋体" w:cs="Times New Roman"/>
          <w:sz w:val="21"/>
          <w:szCs w:val="21"/>
          <w:shd w:val="clear" w:color="auto" w:fill="FFFFFF"/>
          <w:lang w:bidi="ar"/>
        </w:rPr>
        <w:t>二氧化碳（CO</w:t>
      </w:r>
      <w:r>
        <w:rPr>
          <w:rFonts w:hint="eastAsia" w:ascii="宋体" w:hAnsi="宋体" w:eastAsia="宋体" w:cs="Times New Roman"/>
          <w:sz w:val="21"/>
          <w:szCs w:val="21"/>
          <w:shd w:val="clear" w:color="auto" w:fill="FFFFFF"/>
          <w:vertAlign w:val="subscript"/>
          <w:lang w:bidi="ar"/>
        </w:rPr>
        <w:t>2</w:t>
      </w:r>
      <w:r>
        <w:rPr>
          <w:rFonts w:hint="eastAsia" w:ascii="宋体" w:hAnsi="宋体" w:eastAsia="宋体" w:cs="Times New Roman"/>
          <w:sz w:val="21"/>
          <w:szCs w:val="21"/>
          <w:shd w:val="clear" w:color="auto" w:fill="FFFFFF"/>
          <w:lang w:bidi="ar"/>
        </w:rPr>
        <w:t>）、甲烷（CH</w:t>
      </w:r>
      <w:r>
        <w:rPr>
          <w:rFonts w:hint="eastAsia" w:ascii="宋体" w:hAnsi="宋体" w:eastAsia="宋体" w:cs="Times New Roman"/>
          <w:sz w:val="21"/>
          <w:szCs w:val="21"/>
          <w:shd w:val="clear" w:color="auto" w:fill="FFFFFF"/>
          <w:vertAlign w:val="subscript"/>
          <w:lang w:bidi="ar"/>
        </w:rPr>
        <w:t>4</w:t>
      </w:r>
      <w:r>
        <w:rPr>
          <w:rFonts w:hint="eastAsia" w:ascii="宋体" w:hAnsi="宋体" w:eastAsia="宋体" w:cs="Times New Roman"/>
          <w:sz w:val="21"/>
          <w:szCs w:val="21"/>
          <w:shd w:val="clear" w:color="auto" w:fill="FFFFFF"/>
          <w:lang w:bidi="ar"/>
        </w:rPr>
        <w:t>）、氧化亚氮（N</w:t>
      </w:r>
      <w:r>
        <w:rPr>
          <w:rFonts w:hint="eastAsia" w:ascii="宋体" w:hAnsi="宋体" w:eastAsia="宋体" w:cs="Times New Roman"/>
          <w:sz w:val="21"/>
          <w:szCs w:val="21"/>
          <w:shd w:val="clear" w:color="auto" w:fill="FFFFFF"/>
          <w:vertAlign w:val="subscript"/>
          <w:lang w:bidi="ar"/>
        </w:rPr>
        <w:t>2</w:t>
      </w:r>
      <w:r>
        <w:rPr>
          <w:rFonts w:hint="eastAsia" w:ascii="宋体" w:hAnsi="宋体" w:eastAsia="宋体" w:cs="Times New Roman"/>
          <w:sz w:val="21"/>
          <w:szCs w:val="21"/>
          <w:shd w:val="clear" w:color="auto" w:fill="FFFFFF"/>
          <w:lang w:bidi="ar"/>
        </w:rPr>
        <w:t>O）、氢氟碳化物（HFCs）、全氟化碳（PFCs）和六氟化硫（SF</w:t>
      </w:r>
      <w:r>
        <w:rPr>
          <w:rFonts w:hint="eastAsia" w:ascii="宋体" w:hAnsi="宋体" w:eastAsia="宋体" w:cs="Times New Roman"/>
          <w:sz w:val="21"/>
          <w:szCs w:val="21"/>
          <w:shd w:val="clear" w:color="auto" w:fill="FFFFFF"/>
          <w:vertAlign w:val="subscript"/>
          <w:lang w:bidi="ar"/>
        </w:rPr>
        <w:t>6</w:t>
      </w:r>
      <w:r>
        <w:rPr>
          <w:rFonts w:hint="eastAsia" w:ascii="宋体" w:hAnsi="宋体" w:eastAsia="宋体" w:cs="Times New Roman"/>
          <w:sz w:val="21"/>
          <w:szCs w:val="21"/>
          <w:shd w:val="clear" w:color="auto" w:fill="FFFFFF"/>
          <w:lang w:bidi="ar"/>
        </w:rPr>
        <w:t>）。</w:t>
      </w:r>
    </w:p>
    <w:p w14:paraId="096B6EAD">
      <w:pPr>
        <w:pStyle w:val="13"/>
        <w:numPr>
          <w:ilvl w:val="0"/>
          <w:numId w:val="5"/>
        </w:numPr>
        <w:spacing w:before="156" w:beforeLines="50" w:after="156" w:afterLines="50"/>
        <w:ind w:firstLine="420"/>
        <w:rPr>
          <w:rFonts w:hint="eastAsia" w:ascii="宋体" w:hAnsi="宋体" w:eastAsia="宋体"/>
          <w:sz w:val="21"/>
          <w:szCs w:val="21"/>
          <w:shd w:val="clear" w:color="auto" w:fill="FFFFFF"/>
        </w:rPr>
      </w:pPr>
      <w:r>
        <w:rPr>
          <w:rFonts w:hint="eastAsia" w:ascii="宋体" w:hAnsi="宋体" w:eastAsia="宋体"/>
          <w:sz w:val="21"/>
          <w:szCs w:val="21"/>
          <w:shd w:val="clear" w:color="auto" w:fill="FFFFFF"/>
        </w:rPr>
        <w:t>分项是根据工业企业生产工艺流程划分为主要生产用能、辅助生产用能、非生产用能、外供能源及载能工质的统计方式。其中生产</w:t>
      </w:r>
      <w:r>
        <w:rPr>
          <w:rFonts w:ascii="宋体" w:hAnsi="宋体" w:eastAsia="宋体"/>
          <w:sz w:val="21"/>
          <w:szCs w:val="21"/>
          <w:shd w:val="clear" w:color="auto" w:fill="FFFFFF"/>
        </w:rPr>
        <w:t>用能</w:t>
      </w:r>
      <w:r>
        <w:rPr>
          <w:rFonts w:hint="eastAsia" w:ascii="宋体" w:hAnsi="宋体" w:eastAsia="宋体"/>
          <w:sz w:val="21"/>
          <w:szCs w:val="21"/>
          <w:shd w:val="clear" w:color="auto" w:fill="FFFFFF"/>
        </w:rPr>
        <w:t>宜按部门、车间、工艺、工序单元进行划分。</w:t>
      </w:r>
    </w:p>
    <w:p w14:paraId="798188AF">
      <w:pPr>
        <w:pStyle w:val="18"/>
        <w:numPr>
          <w:ilvl w:val="2"/>
          <w:numId w:val="3"/>
        </w:numPr>
        <w:shd w:val="clear" w:color="auto" w:fill="FFFFFF"/>
        <w:spacing w:before="312" w:beforeLines="0" w:after="312" w:afterLines="0"/>
        <w:ind w:left="17" w:hanging="17"/>
        <w:jc w:val="left"/>
        <w:outlineLvl w:val="2"/>
        <w:rPr>
          <w:rFonts w:ascii="Helvetica" w:hAnsi="Helvetica" w:cs="Helvetica"/>
          <w:spacing w:val="8"/>
          <w:szCs w:val="21"/>
        </w:rPr>
      </w:pPr>
      <w:r>
        <w:rPr>
          <w:rFonts w:hint="eastAsia" w:ascii="Helvetica" w:hAnsi="Helvetica" w:cs="Helvetica"/>
          <w:spacing w:val="8"/>
          <w:szCs w:val="21"/>
        </w:rPr>
        <w:t>采集方式</w:t>
      </w:r>
    </w:p>
    <w:p w14:paraId="7965975C">
      <w:pPr>
        <w:pStyle w:val="13"/>
        <w:spacing w:before="156" w:beforeLines="50" w:after="156" w:afterLines="50"/>
        <w:ind w:firstLine="420" w:firstLineChars="200"/>
        <w:rPr>
          <w:rFonts w:ascii="Helvetica" w:hAnsi="Helvetica" w:cs="Helvetica"/>
          <w:spacing w:val="8"/>
          <w:kern w:val="0"/>
          <w:szCs w:val="21"/>
        </w:rPr>
      </w:pPr>
      <w:r>
        <w:rPr>
          <w:rFonts w:hint="eastAsia" w:ascii="宋体" w:hAnsi="宋体" w:eastAsia="宋体"/>
          <w:sz w:val="21"/>
          <w:szCs w:val="20"/>
        </w:rPr>
        <w:t>工业企业宜根据自身已有信息化系统结构及未来发展规划合理选择数据采集方式，优先选择利用已有信息化系统数据对接为主，手动录入为辅。对不具备自动采集能力的重要数据采集节点，应加装计量器具、传感器、能源计量网关、碳计量网关等自动化数据采集传输设备，实现数据自动采集传输。</w:t>
      </w:r>
    </w:p>
    <w:p w14:paraId="496C92F1">
      <w:pPr>
        <w:pStyle w:val="18"/>
        <w:numPr>
          <w:ilvl w:val="2"/>
          <w:numId w:val="3"/>
        </w:numPr>
        <w:shd w:val="clear" w:color="auto" w:fill="FFFFFF"/>
        <w:spacing w:before="156" w:beforeLines="50" w:after="156" w:afterLines="50"/>
        <w:ind w:left="17" w:firstLine="0"/>
        <w:jc w:val="left"/>
        <w:outlineLvl w:val="3"/>
        <w:rPr>
          <w:rFonts w:hint="eastAsia" w:ascii="宋体" w:hAnsi="宋体" w:eastAsia="宋体" w:cs="宋体"/>
          <w:spacing w:val="8"/>
          <w:szCs w:val="21"/>
        </w:rPr>
      </w:pPr>
      <w:r>
        <w:rPr>
          <w:rFonts w:hint="eastAsia" w:ascii="宋体" w:hAnsi="宋体" w:eastAsia="宋体" w:cs="宋体"/>
          <w:spacing w:val="8"/>
          <w:szCs w:val="21"/>
        </w:rPr>
        <w:t>应支持标准通讯协议，具备与第三方系统的数据通信对接能力。</w:t>
      </w:r>
    </w:p>
    <w:p w14:paraId="654DFE64">
      <w:pPr>
        <w:pStyle w:val="18"/>
        <w:numPr>
          <w:ilvl w:val="2"/>
          <w:numId w:val="3"/>
        </w:numPr>
        <w:shd w:val="clear" w:color="auto" w:fill="FFFFFF"/>
        <w:spacing w:before="156" w:beforeLines="50" w:after="156" w:afterLines="50"/>
        <w:ind w:left="17" w:firstLine="0"/>
        <w:jc w:val="left"/>
        <w:outlineLvl w:val="3"/>
        <w:rPr>
          <w:rFonts w:hint="eastAsia" w:ascii="宋体" w:hAnsi="宋体" w:eastAsia="宋体" w:cs="宋体"/>
          <w:spacing w:val="8"/>
          <w:szCs w:val="21"/>
        </w:rPr>
      </w:pPr>
      <w:r>
        <w:rPr>
          <w:rFonts w:hint="eastAsia" w:ascii="宋体" w:hAnsi="宋体" w:eastAsia="宋体" w:cs="宋体"/>
          <w:spacing w:val="8"/>
          <w:szCs w:val="21"/>
        </w:rPr>
        <w:t>应有良好的环境适应性，能在各种工业环境下稳定运行。</w:t>
      </w:r>
    </w:p>
    <w:p w14:paraId="7C25302B">
      <w:pPr>
        <w:pStyle w:val="18"/>
        <w:numPr>
          <w:ilvl w:val="2"/>
          <w:numId w:val="3"/>
        </w:numPr>
        <w:shd w:val="clear" w:color="auto" w:fill="FFFFFF"/>
        <w:spacing w:before="156" w:beforeLines="50" w:after="156" w:afterLines="50"/>
        <w:ind w:left="17" w:firstLine="0"/>
        <w:jc w:val="left"/>
        <w:outlineLvl w:val="3"/>
        <w:rPr>
          <w:rFonts w:hint="eastAsia" w:ascii="宋体" w:hAnsi="宋体" w:eastAsia="宋体" w:cs="宋体"/>
          <w:spacing w:val="8"/>
          <w:szCs w:val="21"/>
        </w:rPr>
      </w:pPr>
      <w:r>
        <w:rPr>
          <w:rFonts w:hint="eastAsia" w:ascii="宋体" w:hAnsi="宋体" w:eastAsia="宋体" w:cs="宋体"/>
          <w:spacing w:val="8"/>
          <w:szCs w:val="21"/>
        </w:rPr>
        <w:t>应确保数据传输安全、可靠和实时的传输到数据管理层。</w:t>
      </w:r>
    </w:p>
    <w:p w14:paraId="39B5ECC3">
      <w:pPr>
        <w:pStyle w:val="18"/>
        <w:numPr>
          <w:ilvl w:val="2"/>
          <w:numId w:val="3"/>
        </w:numPr>
        <w:shd w:val="clear" w:color="auto" w:fill="FFFFFF"/>
        <w:spacing w:before="156" w:beforeLines="50" w:after="156" w:afterLines="50"/>
        <w:ind w:left="17" w:firstLine="0"/>
        <w:jc w:val="left"/>
        <w:outlineLvl w:val="3"/>
        <w:rPr>
          <w:rFonts w:hint="eastAsia" w:ascii="宋体" w:hAnsi="宋体" w:eastAsia="宋体" w:cs="宋体"/>
          <w:spacing w:val="8"/>
          <w:szCs w:val="21"/>
        </w:rPr>
      </w:pPr>
      <w:r>
        <w:rPr>
          <w:rFonts w:hint="eastAsia" w:ascii="宋体" w:hAnsi="宋体" w:eastAsia="宋体" w:cs="宋体"/>
          <w:spacing w:val="8"/>
          <w:szCs w:val="21"/>
        </w:rPr>
        <w:t>应支持多种通信方式，包括有线和无线通信，以适应不同的工业场景。</w:t>
      </w:r>
    </w:p>
    <w:p w14:paraId="1348DA85">
      <w:pPr>
        <w:pStyle w:val="18"/>
        <w:numPr>
          <w:ilvl w:val="2"/>
          <w:numId w:val="3"/>
        </w:numPr>
        <w:shd w:val="clear" w:color="auto" w:fill="FFFFFF"/>
        <w:spacing w:before="156" w:beforeLines="50" w:after="156" w:afterLines="50"/>
        <w:ind w:left="17" w:firstLine="0"/>
        <w:jc w:val="left"/>
        <w:outlineLvl w:val="3"/>
        <w:rPr>
          <w:rFonts w:hint="eastAsia" w:ascii="宋体" w:hAnsi="宋体" w:eastAsia="宋体" w:cs="宋体"/>
          <w:spacing w:val="8"/>
          <w:szCs w:val="21"/>
        </w:rPr>
      </w:pPr>
      <w:r>
        <w:rPr>
          <w:rFonts w:hint="eastAsia" w:ascii="宋体" w:hAnsi="宋体" w:eastAsia="宋体" w:cs="宋体"/>
          <w:spacing w:val="8"/>
          <w:szCs w:val="21"/>
        </w:rPr>
        <w:t>应具备数据加密和网络安全措施，防止数据泄露与被未授权访问。</w:t>
      </w:r>
    </w:p>
    <w:p w14:paraId="6CF3E672">
      <w:pPr>
        <w:pStyle w:val="18"/>
        <w:numPr>
          <w:ilvl w:val="1"/>
          <w:numId w:val="3"/>
        </w:numPr>
        <w:spacing w:before="312" w:beforeLines="0" w:after="312" w:afterLines="0"/>
        <w:rPr>
          <w:rFonts w:hint="eastAsia" w:hAnsi="黑体" w:cs="Arial"/>
        </w:rPr>
      </w:pPr>
      <w:r>
        <w:rPr>
          <w:rFonts w:hint="eastAsia" w:hAnsi="黑体" w:cs="Arial"/>
        </w:rPr>
        <w:t>数据安全层</w:t>
      </w:r>
    </w:p>
    <w:p w14:paraId="63DCA437">
      <w:pPr>
        <w:pStyle w:val="18"/>
        <w:numPr>
          <w:ilvl w:val="2"/>
          <w:numId w:val="3"/>
        </w:numPr>
        <w:shd w:val="clear" w:color="auto" w:fill="FFFFFF"/>
        <w:spacing w:before="156" w:beforeLines="50" w:after="156" w:afterLines="50"/>
        <w:ind w:left="0" w:firstLine="0"/>
        <w:jc w:val="left"/>
        <w:outlineLvl w:val="2"/>
        <w:rPr>
          <w:rFonts w:hint="eastAsia" w:ascii="宋体" w:hAnsi="宋体" w:eastAsia="宋体" w:cs="宋体"/>
          <w:spacing w:val="8"/>
          <w:szCs w:val="21"/>
        </w:rPr>
      </w:pPr>
      <w:r>
        <w:rPr>
          <w:rFonts w:hint="eastAsia" w:ascii="宋体" w:hAnsi="宋体" w:eastAsia="宋体" w:cs="宋体"/>
          <w:spacing w:val="8"/>
          <w:szCs w:val="21"/>
        </w:rPr>
        <w:t>工业企业能碳管控中心涉及软、硬、网络传输安全，应满足GB/T40063规定提及的安全要求。</w:t>
      </w:r>
    </w:p>
    <w:p w14:paraId="2294B51D">
      <w:pPr>
        <w:pStyle w:val="18"/>
        <w:numPr>
          <w:ilvl w:val="1"/>
          <w:numId w:val="3"/>
        </w:numPr>
        <w:spacing w:before="312" w:beforeLines="0" w:after="312" w:afterLines="0"/>
        <w:rPr>
          <w:rFonts w:hint="eastAsia" w:hAnsi="黑体" w:cs="Arial"/>
        </w:rPr>
      </w:pPr>
      <w:r>
        <w:rPr>
          <w:rFonts w:hint="eastAsia" w:hAnsi="黑体" w:cs="Arial"/>
        </w:rPr>
        <w:t>数据管理层</w:t>
      </w:r>
    </w:p>
    <w:p w14:paraId="3DF4D8ED">
      <w:pPr>
        <w:pStyle w:val="18"/>
        <w:numPr>
          <w:ilvl w:val="2"/>
          <w:numId w:val="3"/>
        </w:numPr>
        <w:shd w:val="clear" w:color="auto" w:fill="FFFFFF"/>
        <w:spacing w:before="156" w:beforeLines="50" w:after="156" w:afterLines="50"/>
        <w:ind w:left="0" w:firstLine="0"/>
        <w:jc w:val="left"/>
        <w:outlineLvl w:val="2"/>
        <w:rPr>
          <w:rFonts w:hint="eastAsia" w:ascii="宋体" w:hAnsi="宋体" w:eastAsia="宋体" w:cs="宋体"/>
          <w:spacing w:val="8"/>
          <w:szCs w:val="21"/>
        </w:rPr>
      </w:pPr>
      <w:r>
        <w:rPr>
          <w:rFonts w:hint="eastAsia" w:ascii="宋体" w:hAnsi="宋体" w:eastAsia="宋体" w:cs="宋体"/>
          <w:spacing w:val="8"/>
          <w:szCs w:val="21"/>
        </w:rPr>
        <w:t>数据管理层进行数据存储、管理与维护。</w:t>
      </w:r>
    </w:p>
    <w:p w14:paraId="7532C932">
      <w:pPr>
        <w:pStyle w:val="18"/>
        <w:numPr>
          <w:ilvl w:val="2"/>
          <w:numId w:val="3"/>
        </w:numPr>
        <w:shd w:val="clear" w:color="auto" w:fill="FFFFFF"/>
        <w:spacing w:before="156" w:beforeLines="50" w:after="156" w:afterLines="50"/>
        <w:ind w:left="0" w:firstLine="0"/>
        <w:jc w:val="left"/>
        <w:outlineLvl w:val="2"/>
        <w:rPr>
          <w:rFonts w:hint="eastAsia" w:ascii="宋体" w:hAnsi="宋体" w:eastAsia="宋体" w:cs="宋体"/>
          <w:spacing w:val="8"/>
          <w:szCs w:val="21"/>
        </w:rPr>
      </w:pPr>
      <w:r>
        <w:rPr>
          <w:rFonts w:hint="eastAsia" w:ascii="宋体" w:hAnsi="宋体" w:eastAsia="宋体" w:cs="宋体"/>
          <w:spacing w:val="8"/>
          <w:szCs w:val="21"/>
        </w:rPr>
        <w:t>应支持实时数据库、历史数据库和时序数据库等多种可选数据的存储方式。</w:t>
      </w:r>
    </w:p>
    <w:p w14:paraId="385D7FD8">
      <w:pPr>
        <w:pStyle w:val="18"/>
        <w:numPr>
          <w:ilvl w:val="2"/>
          <w:numId w:val="3"/>
        </w:numPr>
        <w:shd w:val="clear" w:color="auto" w:fill="FFFFFF"/>
        <w:spacing w:before="156" w:beforeLines="50" w:after="156" w:afterLines="50"/>
        <w:ind w:left="0" w:firstLine="0"/>
        <w:jc w:val="left"/>
        <w:outlineLvl w:val="2"/>
        <w:rPr>
          <w:rFonts w:hint="eastAsia" w:ascii="宋体" w:hAnsi="宋体" w:eastAsia="宋体" w:cs="宋体"/>
          <w:spacing w:val="8"/>
          <w:szCs w:val="21"/>
        </w:rPr>
      </w:pPr>
      <w:r>
        <w:rPr>
          <w:rFonts w:hint="eastAsia" w:ascii="宋体" w:hAnsi="宋体" w:eastAsia="宋体" w:cs="宋体"/>
          <w:spacing w:val="8"/>
          <w:szCs w:val="21"/>
        </w:rPr>
        <w:t>应具备数据清洗、数据校验、异常数据处理等数据治理能力。</w:t>
      </w:r>
    </w:p>
    <w:p w14:paraId="75FE64E5">
      <w:pPr>
        <w:pStyle w:val="18"/>
        <w:numPr>
          <w:ilvl w:val="2"/>
          <w:numId w:val="3"/>
        </w:numPr>
        <w:shd w:val="clear" w:color="auto" w:fill="FFFFFF"/>
        <w:spacing w:before="156" w:beforeLines="50" w:after="156" w:afterLines="50"/>
        <w:ind w:left="0" w:firstLine="0"/>
        <w:jc w:val="left"/>
        <w:outlineLvl w:val="2"/>
        <w:rPr>
          <w:rFonts w:hint="eastAsia" w:ascii="宋体" w:hAnsi="宋体" w:eastAsia="宋体" w:cs="宋体"/>
          <w:spacing w:val="8"/>
          <w:szCs w:val="21"/>
        </w:rPr>
      </w:pPr>
      <w:r>
        <w:rPr>
          <w:rFonts w:hint="eastAsia" w:ascii="宋体" w:hAnsi="宋体" w:eastAsia="宋体" w:cs="宋体"/>
          <w:spacing w:val="8"/>
          <w:szCs w:val="21"/>
        </w:rPr>
        <w:t>应具备符合开放平台API规范的接口能力，提供对数据的实时访问功能。</w:t>
      </w:r>
    </w:p>
    <w:p w14:paraId="3B71A6D1">
      <w:pPr>
        <w:pStyle w:val="18"/>
        <w:numPr>
          <w:ilvl w:val="2"/>
          <w:numId w:val="3"/>
        </w:numPr>
        <w:shd w:val="clear" w:color="auto" w:fill="FFFFFF"/>
        <w:spacing w:before="156" w:beforeLines="50" w:after="156" w:afterLines="50"/>
        <w:ind w:left="0" w:firstLine="0"/>
        <w:jc w:val="left"/>
        <w:outlineLvl w:val="2"/>
        <w:rPr>
          <w:rFonts w:hint="eastAsia" w:ascii="宋体" w:hAnsi="宋体" w:eastAsia="宋体" w:cs="宋体"/>
          <w:spacing w:val="8"/>
          <w:szCs w:val="21"/>
        </w:rPr>
      </w:pPr>
      <w:r>
        <w:rPr>
          <w:rFonts w:hint="eastAsia" w:ascii="宋体" w:hAnsi="宋体" w:eastAsia="宋体" w:cs="宋体"/>
          <w:spacing w:val="8"/>
          <w:szCs w:val="21"/>
        </w:rPr>
        <w:t>应具备组织碳排放核算应用碳排放因子数据存储与更新能力。</w:t>
      </w:r>
    </w:p>
    <w:p w14:paraId="1219830F">
      <w:pPr>
        <w:pStyle w:val="18"/>
        <w:numPr>
          <w:ilvl w:val="2"/>
          <w:numId w:val="3"/>
        </w:numPr>
        <w:shd w:val="clear" w:color="auto" w:fill="FFFFFF"/>
        <w:spacing w:before="156" w:beforeLines="50" w:after="156" w:afterLines="50"/>
        <w:ind w:left="0" w:firstLine="0"/>
        <w:jc w:val="left"/>
        <w:outlineLvl w:val="2"/>
        <w:rPr>
          <w:rFonts w:hint="eastAsia" w:ascii="宋体" w:hAnsi="宋体" w:eastAsia="宋体" w:cs="宋体"/>
          <w:spacing w:val="8"/>
          <w:szCs w:val="21"/>
        </w:rPr>
      </w:pPr>
      <w:r>
        <w:rPr>
          <w:rFonts w:hint="eastAsia" w:ascii="宋体" w:hAnsi="宋体" w:eastAsia="宋体" w:cs="宋体"/>
          <w:spacing w:val="8"/>
          <w:szCs w:val="21"/>
        </w:rPr>
        <w:t>应具备历史数据存储能力，存储时间不少于5年。</w:t>
      </w:r>
    </w:p>
    <w:p w14:paraId="77C595D6">
      <w:pPr>
        <w:pStyle w:val="18"/>
        <w:numPr>
          <w:ilvl w:val="2"/>
          <w:numId w:val="3"/>
        </w:numPr>
        <w:shd w:val="clear" w:color="auto" w:fill="FFFFFF"/>
        <w:spacing w:before="156" w:beforeLines="50" w:after="156" w:afterLines="50"/>
        <w:ind w:left="0" w:firstLine="0"/>
        <w:jc w:val="left"/>
        <w:outlineLvl w:val="2"/>
        <w:rPr>
          <w:rFonts w:hint="eastAsia" w:ascii="宋体" w:hAnsi="宋体" w:eastAsia="宋体" w:cs="宋体"/>
          <w:spacing w:val="8"/>
          <w:szCs w:val="21"/>
        </w:rPr>
      </w:pPr>
      <w:r>
        <w:rPr>
          <w:rFonts w:hint="eastAsia" w:ascii="宋体" w:hAnsi="宋体" w:eastAsia="宋体" w:cs="宋体"/>
          <w:spacing w:val="8"/>
          <w:szCs w:val="21"/>
        </w:rPr>
        <w:t>应具备权限管理能力，可对不同的角色、业务模块进行访问授权，保障数据访问的安全性。</w:t>
      </w:r>
    </w:p>
    <w:p w14:paraId="72122634">
      <w:pPr>
        <w:pStyle w:val="18"/>
        <w:numPr>
          <w:ilvl w:val="1"/>
          <w:numId w:val="3"/>
        </w:numPr>
        <w:spacing w:before="312" w:beforeLines="0" w:after="312" w:afterLines="0"/>
        <w:rPr>
          <w:rFonts w:hint="eastAsia" w:hAnsi="黑体" w:cs="Arial"/>
        </w:rPr>
      </w:pPr>
      <w:r>
        <w:rPr>
          <w:rFonts w:hint="eastAsia" w:hAnsi="黑体" w:cs="Arial"/>
        </w:rPr>
        <w:t>平台算法层</w:t>
      </w:r>
    </w:p>
    <w:p w14:paraId="3D5095A6">
      <w:pPr>
        <w:pStyle w:val="18"/>
        <w:numPr>
          <w:ilvl w:val="2"/>
          <w:numId w:val="3"/>
        </w:numPr>
        <w:shd w:val="clear" w:color="auto" w:fill="FFFFFF"/>
        <w:spacing w:before="156" w:beforeLines="50" w:after="156" w:afterLines="50"/>
        <w:ind w:left="0" w:firstLine="0"/>
        <w:jc w:val="left"/>
        <w:outlineLvl w:val="2"/>
        <w:rPr>
          <w:rFonts w:hint="eastAsia" w:ascii="宋体" w:hAnsi="宋体" w:eastAsia="宋体" w:cs="宋体"/>
          <w:spacing w:val="8"/>
          <w:szCs w:val="21"/>
        </w:rPr>
      </w:pPr>
      <w:r>
        <w:rPr>
          <w:rFonts w:hint="eastAsia" w:ascii="宋体" w:hAnsi="宋体" w:eastAsia="宋体" w:cs="宋体"/>
          <w:spacing w:val="8"/>
          <w:szCs w:val="21"/>
        </w:rPr>
        <w:t>应具备支持组织边界碳排放核算应用的碳核算模型，可选包括排放因子法、物料平衡法、在线监测法等多种核算方法。</w:t>
      </w:r>
    </w:p>
    <w:p w14:paraId="5789C56A">
      <w:pPr>
        <w:pStyle w:val="18"/>
        <w:numPr>
          <w:ilvl w:val="2"/>
          <w:numId w:val="3"/>
        </w:numPr>
        <w:shd w:val="clear" w:color="auto" w:fill="FFFFFF"/>
        <w:spacing w:before="156" w:beforeLines="50" w:after="156" w:afterLines="50"/>
        <w:ind w:left="0" w:firstLine="0"/>
        <w:jc w:val="left"/>
        <w:outlineLvl w:val="2"/>
        <w:rPr>
          <w:rFonts w:hint="eastAsia" w:ascii="宋体" w:hAnsi="宋体" w:eastAsia="宋体" w:cs="宋体"/>
          <w:spacing w:val="8"/>
          <w:szCs w:val="21"/>
        </w:rPr>
      </w:pPr>
      <w:r>
        <w:rPr>
          <w:rFonts w:hint="eastAsia" w:ascii="宋体" w:hAnsi="宋体" w:eastAsia="宋体" w:cs="宋体"/>
          <w:spacing w:val="8"/>
          <w:szCs w:val="21"/>
        </w:rPr>
        <w:t>应具备支持碳排放总量、碳排放强度计算及对标统计分析等功能的碳绩效模型。</w:t>
      </w:r>
    </w:p>
    <w:p w14:paraId="5B67519E">
      <w:pPr>
        <w:pStyle w:val="18"/>
        <w:numPr>
          <w:ilvl w:val="2"/>
          <w:numId w:val="3"/>
        </w:numPr>
        <w:shd w:val="clear" w:color="auto" w:fill="FFFFFF"/>
        <w:spacing w:before="156" w:beforeLines="50" w:after="156" w:afterLines="50"/>
        <w:ind w:left="0" w:firstLine="0"/>
        <w:jc w:val="left"/>
        <w:outlineLvl w:val="2"/>
        <w:rPr>
          <w:rFonts w:hint="eastAsia" w:ascii="宋体" w:hAnsi="宋体" w:eastAsia="宋体" w:cs="宋体"/>
          <w:spacing w:val="8"/>
          <w:szCs w:val="21"/>
        </w:rPr>
      </w:pPr>
      <w:r>
        <w:rPr>
          <w:rFonts w:hint="eastAsia" w:ascii="宋体" w:hAnsi="宋体" w:eastAsia="宋体" w:cs="宋体"/>
          <w:spacing w:val="8"/>
          <w:szCs w:val="21"/>
        </w:rPr>
        <w:t>应具备支持碳资产管理、减排项目收益测算、碳交易模拟试算等功能的算法模型。</w:t>
      </w:r>
    </w:p>
    <w:p w14:paraId="25B2F9A2">
      <w:pPr>
        <w:pStyle w:val="18"/>
        <w:numPr>
          <w:ilvl w:val="2"/>
          <w:numId w:val="3"/>
        </w:numPr>
        <w:shd w:val="clear" w:color="auto" w:fill="FFFFFF"/>
        <w:spacing w:before="156" w:beforeLines="50" w:after="156" w:afterLines="50"/>
        <w:ind w:left="0" w:firstLine="0"/>
        <w:jc w:val="left"/>
        <w:outlineLvl w:val="2"/>
        <w:rPr>
          <w:rFonts w:hint="eastAsia" w:ascii="宋体" w:hAnsi="宋体" w:eastAsia="宋体" w:cs="宋体"/>
          <w:spacing w:val="8"/>
          <w:szCs w:val="21"/>
        </w:rPr>
      </w:pPr>
      <w:r>
        <w:rPr>
          <w:rFonts w:hint="eastAsia" w:ascii="宋体" w:hAnsi="宋体" w:eastAsia="宋体" w:cs="宋体"/>
          <w:spacing w:val="8"/>
          <w:szCs w:val="21"/>
        </w:rPr>
        <w:t>应具备支持工业企业碳达峰预测、碳中和减排路径分析与评估等功能的算法模型。</w:t>
      </w:r>
    </w:p>
    <w:p w14:paraId="5E1F9085">
      <w:pPr>
        <w:pStyle w:val="18"/>
        <w:numPr>
          <w:ilvl w:val="2"/>
          <w:numId w:val="3"/>
        </w:numPr>
        <w:shd w:val="clear" w:color="auto" w:fill="FFFFFF"/>
        <w:spacing w:before="156" w:beforeLines="50" w:after="156" w:afterLines="50"/>
        <w:ind w:left="0" w:firstLine="0"/>
        <w:jc w:val="left"/>
        <w:outlineLvl w:val="2"/>
        <w:rPr>
          <w:rFonts w:hint="eastAsia" w:ascii="宋体" w:hAnsi="宋体" w:eastAsia="宋体" w:cs="宋体"/>
          <w:spacing w:val="8"/>
          <w:szCs w:val="21"/>
        </w:rPr>
      </w:pPr>
      <w:r>
        <w:rPr>
          <w:rFonts w:hint="eastAsia" w:ascii="宋体" w:hAnsi="宋体" w:eastAsia="宋体" w:cs="宋体"/>
          <w:spacing w:val="8"/>
          <w:szCs w:val="21"/>
        </w:rPr>
        <w:t>选用排放因子法核算组织碳排放量的工业企业，应按照GB/T 32150、GB/T 32151标准要求，合理识别组织边界、温室气体排放源并按相应行业选择温室气体排放方法学公式进行组织碳核算。</w:t>
      </w:r>
    </w:p>
    <w:p w14:paraId="7BF821E5">
      <w:pPr>
        <w:pStyle w:val="18"/>
        <w:numPr>
          <w:ilvl w:val="1"/>
          <w:numId w:val="3"/>
        </w:numPr>
        <w:spacing w:before="312" w:after="312"/>
        <w:rPr>
          <w:rFonts w:hint="eastAsia" w:hAnsi="黑体" w:cs="Arial"/>
        </w:rPr>
      </w:pPr>
      <w:r>
        <w:rPr>
          <w:rFonts w:hint="eastAsia" w:hAnsi="黑体" w:cs="Arial"/>
        </w:rPr>
        <w:t>业务功能层</w:t>
      </w:r>
    </w:p>
    <w:p w14:paraId="79393763">
      <w:pPr>
        <w:spacing w:before="156" w:beforeLines="50" w:after="156" w:afterLines="50"/>
        <w:ind w:firstLine="420" w:firstLineChars="200"/>
        <w:jc w:val="left"/>
        <w:rPr>
          <w:rFonts w:ascii="Helvetica" w:hAnsi="Helvetica" w:cs="Helvetica"/>
          <w:spacing w:val="8"/>
          <w:szCs w:val="21"/>
          <w:shd w:val="clear" w:color="auto" w:fill="FFFFFF"/>
        </w:rPr>
      </w:pPr>
      <w:r>
        <w:rPr>
          <w:rFonts w:hint="eastAsia" w:hAnsi="黑体" w:cs="Arial"/>
        </w:rPr>
        <w:t>业务功能层应实现人与系统交互，通过操作系统完成对能源与碳排放的管控，需具备如下应用功能：</w:t>
      </w:r>
    </w:p>
    <w:p w14:paraId="230ED212">
      <w:pPr>
        <w:pStyle w:val="18"/>
        <w:numPr>
          <w:ilvl w:val="2"/>
          <w:numId w:val="3"/>
        </w:numPr>
        <w:spacing w:before="312" w:beforeLines="0" w:after="312" w:afterLines="0"/>
        <w:ind w:hanging="2137"/>
        <w:outlineLvl w:val="2"/>
        <w:rPr>
          <w:rFonts w:hint="eastAsia" w:hAnsi="黑体" w:cs="Arial"/>
        </w:rPr>
      </w:pPr>
      <w:r>
        <w:rPr>
          <w:rFonts w:hint="eastAsia" w:hAnsi="黑体" w:cs="Arial"/>
        </w:rPr>
        <w:t xml:space="preserve">能碳看板 </w:t>
      </w:r>
    </w:p>
    <w:p w14:paraId="0A9DAED2">
      <w:pPr>
        <w:spacing w:before="156" w:beforeLines="50" w:after="156" w:afterLines="50"/>
        <w:ind w:firstLine="452" w:firstLineChars="200"/>
        <w:jc w:val="left"/>
        <w:rPr>
          <w:rFonts w:ascii="Helvetica" w:hAnsi="Helvetica" w:cs="Helvetica"/>
          <w:spacing w:val="8"/>
          <w:szCs w:val="21"/>
          <w:shd w:val="clear" w:color="auto" w:fill="FFFFFF"/>
        </w:rPr>
      </w:pPr>
      <w:r>
        <w:rPr>
          <w:rFonts w:ascii="Helvetica" w:hAnsi="Helvetica" w:cs="Helvetica"/>
          <w:spacing w:val="8"/>
          <w:szCs w:val="21"/>
          <w:shd w:val="clear" w:color="auto" w:fill="FFFFFF"/>
        </w:rPr>
        <w:t>汇总展示</w:t>
      </w:r>
      <w:r>
        <w:rPr>
          <w:rFonts w:hint="eastAsia" w:ascii="Helvetica" w:hAnsi="Helvetica" w:cs="Helvetica"/>
          <w:spacing w:val="8"/>
          <w:szCs w:val="21"/>
          <w:shd w:val="clear" w:color="auto" w:fill="FFFFFF"/>
        </w:rPr>
        <w:t>企业</w:t>
      </w:r>
      <w:r>
        <w:rPr>
          <w:rFonts w:ascii="Helvetica" w:hAnsi="Helvetica" w:cs="Helvetica"/>
          <w:spacing w:val="8"/>
          <w:szCs w:val="21"/>
          <w:shd w:val="clear" w:color="auto" w:fill="FFFFFF"/>
        </w:rPr>
        <w:t>整体</w:t>
      </w:r>
      <w:r>
        <w:rPr>
          <w:rFonts w:hint="eastAsia" w:ascii="Helvetica" w:hAnsi="Helvetica" w:cs="Helvetica"/>
          <w:spacing w:val="8"/>
          <w:szCs w:val="21"/>
          <w:shd w:val="clear" w:color="auto" w:fill="FFFFFF"/>
        </w:rPr>
        <w:t>用能与</w:t>
      </w:r>
      <w:r>
        <w:rPr>
          <w:rFonts w:ascii="Helvetica" w:hAnsi="Helvetica" w:cs="Helvetica"/>
          <w:spacing w:val="8"/>
          <w:szCs w:val="21"/>
          <w:shd w:val="clear" w:color="auto" w:fill="FFFFFF"/>
        </w:rPr>
        <w:t>碳排</w:t>
      </w:r>
      <w:r>
        <w:rPr>
          <w:rFonts w:hint="eastAsia" w:ascii="Helvetica" w:hAnsi="Helvetica" w:cs="Helvetica"/>
          <w:spacing w:val="8"/>
          <w:szCs w:val="21"/>
          <w:shd w:val="clear" w:color="auto" w:fill="FFFFFF"/>
        </w:rPr>
        <w:t>放</w:t>
      </w:r>
      <w:r>
        <w:rPr>
          <w:rFonts w:ascii="Helvetica" w:hAnsi="Helvetica" w:cs="Helvetica"/>
          <w:spacing w:val="8"/>
          <w:szCs w:val="21"/>
          <w:shd w:val="clear" w:color="auto" w:fill="FFFFFF"/>
        </w:rPr>
        <w:t>情况</w:t>
      </w:r>
      <w:r>
        <w:rPr>
          <w:rFonts w:hint="eastAsia" w:ascii="Helvetica" w:hAnsi="Helvetica" w:cs="Helvetica"/>
          <w:spacing w:val="8"/>
          <w:szCs w:val="21"/>
          <w:shd w:val="clear" w:color="auto" w:fill="FFFFFF"/>
        </w:rPr>
        <w:t>，显示内容包含：用能汇总分析、用能趋势、整体负荷情况、</w:t>
      </w:r>
      <w:r>
        <w:rPr>
          <w:rFonts w:ascii="Helvetica" w:hAnsi="Helvetica" w:cs="Helvetica"/>
          <w:spacing w:val="8"/>
          <w:szCs w:val="21"/>
          <w:shd w:val="clear" w:color="auto" w:fill="FFFFFF"/>
        </w:rPr>
        <w:t>碳排放</w:t>
      </w:r>
      <w:r>
        <w:rPr>
          <w:rFonts w:hint="eastAsia" w:ascii="Helvetica" w:hAnsi="Helvetica" w:cs="Helvetica"/>
          <w:spacing w:val="8"/>
          <w:szCs w:val="21"/>
          <w:shd w:val="clear" w:color="auto" w:fill="FFFFFF"/>
        </w:rPr>
        <w:t>相关</w:t>
      </w:r>
      <w:r>
        <w:rPr>
          <w:rFonts w:ascii="Helvetica" w:hAnsi="Helvetica" w:cs="Helvetica"/>
          <w:spacing w:val="8"/>
          <w:szCs w:val="21"/>
          <w:shd w:val="clear" w:color="auto" w:fill="FFFFFF"/>
        </w:rPr>
        <w:t>数据公示、碳减排目标完成情况，</w:t>
      </w:r>
      <w:r>
        <w:rPr>
          <w:rFonts w:hint="eastAsia" w:ascii="Helvetica" w:hAnsi="Helvetica" w:cs="Helvetica"/>
          <w:spacing w:val="8"/>
          <w:szCs w:val="21"/>
          <w:shd w:val="clear" w:color="auto" w:fill="FFFFFF"/>
        </w:rPr>
        <w:t>支持快捷查看告警信息、</w:t>
      </w:r>
      <w:r>
        <w:rPr>
          <w:rFonts w:ascii="Helvetica" w:hAnsi="Helvetica" w:cs="Helvetica"/>
          <w:spacing w:val="8"/>
          <w:szCs w:val="21"/>
          <w:shd w:val="clear" w:color="auto" w:fill="FFFFFF"/>
        </w:rPr>
        <w:t>碳相关行业动态、知识库。</w:t>
      </w:r>
    </w:p>
    <w:p w14:paraId="5E485D31">
      <w:pPr>
        <w:pStyle w:val="18"/>
        <w:numPr>
          <w:ilvl w:val="2"/>
          <w:numId w:val="3"/>
        </w:numPr>
        <w:spacing w:before="312" w:beforeLines="0" w:after="312" w:afterLines="0"/>
        <w:ind w:hanging="2137"/>
        <w:outlineLvl w:val="2"/>
        <w:rPr>
          <w:rFonts w:hint="eastAsia" w:hAnsi="黑体" w:cs="Arial"/>
        </w:rPr>
      </w:pPr>
      <w:r>
        <w:rPr>
          <w:rFonts w:hint="eastAsia" w:hAnsi="黑体" w:cs="Arial"/>
        </w:rPr>
        <w:t>实时监控</w:t>
      </w:r>
    </w:p>
    <w:p w14:paraId="192C15C4">
      <w:pPr>
        <w:spacing w:before="156" w:beforeLines="50" w:after="156" w:afterLines="50"/>
        <w:ind w:firstLine="452" w:firstLineChars="200"/>
        <w:jc w:val="left"/>
        <w:rPr>
          <w:rFonts w:ascii="Helvetica" w:hAnsi="Helvetica" w:cs="Helvetica"/>
          <w:spacing w:val="8"/>
          <w:szCs w:val="21"/>
          <w:shd w:val="clear" w:color="auto" w:fill="FFFFFF"/>
        </w:rPr>
      </w:pPr>
      <w:r>
        <w:rPr>
          <w:rFonts w:ascii="Helvetica" w:hAnsi="Helvetica" w:cs="Helvetica"/>
          <w:spacing w:val="8"/>
          <w:szCs w:val="21"/>
          <w:shd w:val="clear" w:color="auto" w:fill="FFFFFF"/>
        </w:rPr>
        <w:t>实时监控功能提供对企业能源消耗和碳排放</w:t>
      </w:r>
      <w:r>
        <w:rPr>
          <w:rFonts w:hint="eastAsia" w:ascii="Helvetica" w:hAnsi="Helvetica" w:cs="Helvetica"/>
          <w:spacing w:val="8"/>
          <w:szCs w:val="21"/>
          <w:shd w:val="clear" w:color="auto" w:fill="FFFFFF"/>
        </w:rPr>
        <w:t>量设施动态</w:t>
      </w:r>
      <w:r>
        <w:rPr>
          <w:rFonts w:ascii="Helvetica" w:hAnsi="Helvetica" w:cs="Helvetica"/>
          <w:spacing w:val="8"/>
          <w:szCs w:val="21"/>
          <w:shd w:val="clear" w:color="auto" w:fill="FFFFFF"/>
        </w:rPr>
        <w:t>状态</w:t>
      </w:r>
      <w:r>
        <w:rPr>
          <w:rFonts w:hint="eastAsia" w:ascii="Helvetica" w:hAnsi="Helvetica" w:cs="Helvetica"/>
          <w:spacing w:val="8"/>
          <w:szCs w:val="21"/>
          <w:shd w:val="clear" w:color="auto" w:fill="FFFFFF"/>
        </w:rPr>
        <w:t>变化</w:t>
      </w:r>
      <w:r>
        <w:rPr>
          <w:rFonts w:ascii="Helvetica" w:hAnsi="Helvetica" w:cs="Helvetica"/>
          <w:spacing w:val="8"/>
          <w:szCs w:val="21"/>
          <w:shd w:val="clear" w:color="auto" w:fill="FFFFFF"/>
        </w:rPr>
        <w:t>的即时观察，通过实时数据流和可视化仪表板，操作人员能够监控能源使用和</w:t>
      </w:r>
      <w:r>
        <w:rPr>
          <w:rFonts w:hint="eastAsia" w:ascii="Helvetica" w:hAnsi="Helvetica" w:cs="Helvetica"/>
          <w:spacing w:val="8"/>
          <w:szCs w:val="21"/>
          <w:shd w:val="clear" w:color="auto" w:fill="FFFFFF"/>
        </w:rPr>
        <w:t>碳排放</w:t>
      </w:r>
      <w:r>
        <w:rPr>
          <w:rFonts w:ascii="Helvetica" w:hAnsi="Helvetica" w:cs="Helvetica"/>
          <w:spacing w:val="8"/>
          <w:szCs w:val="21"/>
          <w:shd w:val="clear" w:color="auto" w:fill="FFFFFF"/>
        </w:rPr>
        <w:t>情况，及时</w:t>
      </w:r>
      <w:r>
        <w:rPr>
          <w:rFonts w:hint="eastAsia" w:ascii="Helvetica" w:hAnsi="Helvetica" w:cs="Helvetica"/>
          <w:spacing w:val="8"/>
          <w:szCs w:val="21"/>
          <w:shd w:val="clear" w:color="auto" w:fill="FFFFFF"/>
        </w:rPr>
        <w:t>发现不合理用能情况</w:t>
      </w:r>
      <w:r>
        <w:rPr>
          <w:rFonts w:ascii="Helvetica" w:hAnsi="Helvetica" w:cs="Helvetica"/>
          <w:spacing w:val="8"/>
          <w:szCs w:val="21"/>
          <w:shd w:val="clear" w:color="auto" w:fill="FFFFFF"/>
        </w:rPr>
        <w:t>或碳排放异常</w:t>
      </w:r>
      <w:r>
        <w:rPr>
          <w:rFonts w:hint="eastAsia" w:ascii="Helvetica" w:hAnsi="Helvetica" w:cs="Helvetica"/>
          <w:spacing w:val="8"/>
          <w:szCs w:val="21"/>
          <w:shd w:val="clear" w:color="auto" w:fill="FFFFFF"/>
        </w:rPr>
        <w:t>、处理</w:t>
      </w:r>
      <w:r>
        <w:rPr>
          <w:rFonts w:ascii="Helvetica" w:hAnsi="Helvetica" w:cs="Helvetica"/>
          <w:spacing w:val="8"/>
          <w:szCs w:val="21"/>
          <w:shd w:val="clear" w:color="auto" w:fill="FFFFFF"/>
        </w:rPr>
        <w:t>异常</w:t>
      </w:r>
      <w:r>
        <w:rPr>
          <w:rFonts w:hint="eastAsia" w:ascii="Helvetica" w:hAnsi="Helvetica" w:cs="Helvetica"/>
          <w:spacing w:val="8"/>
          <w:szCs w:val="21"/>
          <w:shd w:val="clear" w:color="auto" w:fill="FFFFFF"/>
        </w:rPr>
        <w:t>告警等</w:t>
      </w:r>
      <w:r>
        <w:rPr>
          <w:rFonts w:ascii="Helvetica" w:hAnsi="Helvetica" w:cs="Helvetica"/>
          <w:spacing w:val="8"/>
          <w:szCs w:val="21"/>
          <w:shd w:val="clear" w:color="auto" w:fill="FFFFFF"/>
        </w:rPr>
        <w:t>。</w:t>
      </w:r>
    </w:p>
    <w:p w14:paraId="4B4BC86F">
      <w:pPr>
        <w:pStyle w:val="18"/>
        <w:numPr>
          <w:ilvl w:val="2"/>
          <w:numId w:val="3"/>
        </w:numPr>
        <w:spacing w:before="312" w:beforeLines="0" w:after="312" w:afterLines="0"/>
        <w:ind w:hanging="2137"/>
        <w:outlineLvl w:val="2"/>
        <w:rPr>
          <w:rFonts w:hint="eastAsia" w:hAnsi="黑体" w:cs="Arial"/>
        </w:rPr>
      </w:pPr>
      <w:r>
        <w:rPr>
          <w:rFonts w:hint="eastAsia" w:hAnsi="黑体" w:cs="Arial"/>
        </w:rPr>
        <w:t>能效分析</w:t>
      </w:r>
    </w:p>
    <w:p w14:paraId="3555280F">
      <w:pPr>
        <w:spacing w:before="156" w:beforeLines="50" w:after="156" w:afterLines="50"/>
        <w:ind w:firstLine="452" w:firstLineChars="200"/>
        <w:jc w:val="left"/>
        <w:rPr>
          <w:rFonts w:ascii="Helvetica" w:hAnsi="Helvetica" w:cs="Helvetica"/>
          <w:spacing w:val="8"/>
          <w:szCs w:val="21"/>
          <w:shd w:val="clear" w:color="auto" w:fill="FFFFFF"/>
        </w:rPr>
      </w:pPr>
      <w:r>
        <w:rPr>
          <w:rFonts w:hint="eastAsia" w:ascii="Helvetica" w:hAnsi="Helvetica" w:cs="Helvetica"/>
          <w:spacing w:val="8"/>
          <w:szCs w:val="21"/>
          <w:shd w:val="clear" w:color="auto" w:fill="FFFFFF"/>
        </w:rPr>
        <w:t>系统支持对不同时间段</w:t>
      </w:r>
      <w:r>
        <w:rPr>
          <w:rFonts w:ascii="Helvetica" w:hAnsi="Helvetica" w:cs="Helvetica"/>
          <w:spacing w:val="8"/>
          <w:szCs w:val="21"/>
          <w:shd w:val="clear" w:color="auto" w:fill="FFFFFF"/>
        </w:rPr>
        <w:t>的</w:t>
      </w:r>
      <w:r>
        <w:rPr>
          <w:rFonts w:hint="eastAsia" w:ascii="Helvetica" w:hAnsi="Helvetica" w:cs="Helvetica"/>
          <w:spacing w:val="8"/>
          <w:szCs w:val="21"/>
          <w:shd w:val="clear" w:color="auto" w:fill="FFFFFF"/>
        </w:rPr>
        <w:t>不同能源类型消耗</w:t>
      </w:r>
      <w:r>
        <w:rPr>
          <w:rFonts w:ascii="Helvetica" w:hAnsi="Helvetica" w:cs="Helvetica"/>
          <w:spacing w:val="8"/>
          <w:szCs w:val="21"/>
          <w:shd w:val="clear" w:color="auto" w:fill="FFFFFF"/>
        </w:rPr>
        <w:t>和</w:t>
      </w:r>
      <w:r>
        <w:rPr>
          <w:rFonts w:hint="eastAsia" w:ascii="Helvetica" w:hAnsi="Helvetica" w:cs="Helvetica"/>
          <w:spacing w:val="8"/>
          <w:szCs w:val="21"/>
          <w:shd w:val="clear" w:color="auto" w:fill="FFFFFF"/>
        </w:rPr>
        <w:t>碳排放</w:t>
      </w:r>
      <w:r>
        <w:rPr>
          <w:rFonts w:ascii="Helvetica" w:hAnsi="Helvetica" w:cs="Helvetica"/>
          <w:spacing w:val="8"/>
          <w:szCs w:val="21"/>
          <w:shd w:val="clear" w:color="auto" w:fill="FFFFFF"/>
        </w:rPr>
        <w:t>量</w:t>
      </w:r>
      <w:r>
        <w:rPr>
          <w:rFonts w:hint="eastAsia" w:ascii="Helvetica" w:hAnsi="Helvetica" w:cs="Helvetica"/>
          <w:spacing w:val="8"/>
          <w:szCs w:val="21"/>
          <w:shd w:val="clear" w:color="auto" w:fill="FFFFFF"/>
        </w:rPr>
        <w:t>进行统计分析，结合生产产量、产值及其他经济指标，分析重点用能设备及重点工艺能效碳排放指标，量化对标并</w:t>
      </w:r>
      <w:r>
        <w:rPr>
          <w:rFonts w:ascii="Helvetica" w:hAnsi="Helvetica" w:cs="Helvetica"/>
          <w:spacing w:val="8"/>
          <w:szCs w:val="21"/>
          <w:shd w:val="clear" w:color="auto" w:fill="FFFFFF"/>
        </w:rPr>
        <w:t>分析能源消耗和</w:t>
      </w:r>
      <w:r>
        <w:rPr>
          <w:rFonts w:hint="eastAsia" w:ascii="Helvetica" w:hAnsi="Helvetica" w:cs="Helvetica"/>
          <w:spacing w:val="8"/>
          <w:szCs w:val="21"/>
          <w:shd w:val="clear" w:color="auto" w:fill="FFFFFF"/>
        </w:rPr>
        <w:t>碳排放过高或能效水平偏低</w:t>
      </w:r>
      <w:r>
        <w:rPr>
          <w:rFonts w:ascii="Helvetica" w:hAnsi="Helvetica" w:cs="Helvetica"/>
          <w:spacing w:val="8"/>
          <w:szCs w:val="21"/>
          <w:shd w:val="clear" w:color="auto" w:fill="FFFFFF"/>
        </w:rPr>
        <w:t>的原因，</w:t>
      </w:r>
      <w:r>
        <w:rPr>
          <w:rFonts w:hint="eastAsia" w:ascii="Helvetica" w:hAnsi="Helvetica" w:cs="Helvetica"/>
          <w:spacing w:val="8"/>
          <w:szCs w:val="21"/>
          <w:shd w:val="clear" w:color="auto" w:fill="FFFFFF"/>
        </w:rPr>
        <w:t>进而</w:t>
      </w:r>
      <w:r>
        <w:rPr>
          <w:rFonts w:ascii="Helvetica" w:hAnsi="Helvetica" w:cs="Helvetica"/>
          <w:spacing w:val="8"/>
          <w:szCs w:val="21"/>
          <w:shd w:val="clear" w:color="auto" w:fill="FFFFFF"/>
        </w:rPr>
        <w:t>评估节能</w:t>
      </w:r>
      <w:r>
        <w:rPr>
          <w:rFonts w:hint="eastAsia" w:ascii="Helvetica" w:hAnsi="Helvetica" w:cs="Helvetica"/>
          <w:spacing w:val="8"/>
          <w:szCs w:val="21"/>
          <w:shd w:val="clear" w:color="auto" w:fill="FFFFFF"/>
        </w:rPr>
        <w:t>减排</w:t>
      </w:r>
      <w:r>
        <w:rPr>
          <w:rFonts w:ascii="Helvetica" w:hAnsi="Helvetica" w:cs="Helvetica"/>
          <w:spacing w:val="8"/>
          <w:szCs w:val="21"/>
          <w:shd w:val="clear" w:color="auto" w:fill="FFFFFF"/>
        </w:rPr>
        <w:t>措施</w:t>
      </w:r>
      <w:r>
        <w:rPr>
          <w:rFonts w:hint="eastAsia" w:ascii="Helvetica" w:hAnsi="Helvetica" w:cs="Helvetica"/>
          <w:spacing w:val="8"/>
          <w:szCs w:val="21"/>
          <w:shd w:val="clear" w:color="auto" w:fill="FFFFFF"/>
        </w:rPr>
        <w:t>可行性方案。</w:t>
      </w:r>
    </w:p>
    <w:p w14:paraId="1EEEAA35">
      <w:pPr>
        <w:pStyle w:val="18"/>
        <w:numPr>
          <w:ilvl w:val="2"/>
          <w:numId w:val="3"/>
        </w:numPr>
        <w:spacing w:before="312" w:beforeLines="0" w:after="312" w:afterLines="0"/>
        <w:ind w:hanging="2137"/>
        <w:outlineLvl w:val="2"/>
        <w:rPr>
          <w:rFonts w:hint="eastAsia" w:hAnsi="黑体" w:cs="Arial"/>
        </w:rPr>
      </w:pPr>
      <w:r>
        <w:rPr>
          <w:rFonts w:hint="eastAsia" w:hAnsi="黑体" w:cs="Arial"/>
        </w:rPr>
        <w:t>减碳计划</w:t>
      </w:r>
    </w:p>
    <w:p w14:paraId="4504762A">
      <w:pPr>
        <w:spacing w:before="156" w:beforeLines="50" w:after="156" w:afterLines="50"/>
        <w:ind w:firstLine="452" w:firstLineChars="200"/>
        <w:jc w:val="left"/>
        <w:rPr>
          <w:rFonts w:ascii="Helvetica" w:hAnsi="Helvetica" w:cs="Helvetica"/>
          <w:spacing w:val="8"/>
          <w:szCs w:val="21"/>
          <w:shd w:val="clear" w:color="auto" w:fill="FFFFFF"/>
        </w:rPr>
      </w:pPr>
      <w:r>
        <w:rPr>
          <w:rFonts w:hint="eastAsia" w:ascii="Helvetica" w:hAnsi="Helvetica" w:cs="Helvetica"/>
          <w:spacing w:val="8"/>
          <w:szCs w:val="21"/>
          <w:shd w:val="clear" w:color="auto" w:fill="FFFFFF"/>
        </w:rPr>
        <w:t>减碳</w:t>
      </w:r>
      <w:r>
        <w:rPr>
          <w:rFonts w:ascii="Helvetica" w:hAnsi="Helvetica" w:cs="Helvetica"/>
          <w:spacing w:val="8"/>
          <w:szCs w:val="21"/>
          <w:shd w:val="clear" w:color="auto" w:fill="FFFFFF"/>
        </w:rPr>
        <w:t>计划功能支持企业制定和优化能源</w:t>
      </w:r>
      <w:r>
        <w:rPr>
          <w:rFonts w:hint="eastAsia" w:ascii="Helvetica" w:hAnsi="Helvetica" w:cs="Helvetica"/>
          <w:spacing w:val="8"/>
          <w:szCs w:val="21"/>
          <w:shd w:val="clear" w:color="auto" w:fill="FFFFFF"/>
        </w:rPr>
        <w:t>使用、碳排放量管控</w:t>
      </w:r>
      <w:r>
        <w:rPr>
          <w:rFonts w:ascii="Helvetica" w:hAnsi="Helvetica" w:cs="Helvetica"/>
          <w:spacing w:val="8"/>
          <w:szCs w:val="21"/>
          <w:shd w:val="clear" w:color="auto" w:fill="FFFFFF"/>
        </w:rPr>
        <w:t>计划，以及制定</w:t>
      </w:r>
      <w:r>
        <w:rPr>
          <w:rFonts w:hint="eastAsia" w:ascii="Helvetica" w:hAnsi="Helvetica" w:cs="Helvetica"/>
          <w:spacing w:val="8"/>
          <w:szCs w:val="21"/>
          <w:shd w:val="clear" w:color="auto" w:fill="FFFFFF"/>
        </w:rPr>
        <w:t>合理的</w:t>
      </w:r>
      <w:r>
        <w:rPr>
          <w:rFonts w:ascii="Helvetica" w:hAnsi="Helvetica" w:cs="Helvetica"/>
          <w:spacing w:val="8"/>
          <w:szCs w:val="21"/>
          <w:shd w:val="clear" w:color="auto" w:fill="FFFFFF"/>
        </w:rPr>
        <w:t>节能</w:t>
      </w:r>
      <w:r>
        <w:rPr>
          <w:rFonts w:hint="eastAsia" w:ascii="Helvetica" w:hAnsi="Helvetica" w:cs="Helvetica"/>
          <w:spacing w:val="8"/>
          <w:szCs w:val="21"/>
          <w:shd w:val="clear" w:color="auto" w:fill="FFFFFF"/>
        </w:rPr>
        <w:t>减碳</w:t>
      </w:r>
      <w:r>
        <w:rPr>
          <w:rFonts w:ascii="Helvetica" w:hAnsi="Helvetica" w:cs="Helvetica"/>
          <w:spacing w:val="8"/>
          <w:szCs w:val="21"/>
          <w:shd w:val="clear" w:color="auto" w:fill="FFFFFF"/>
        </w:rPr>
        <w:t>目标。</w:t>
      </w:r>
    </w:p>
    <w:p w14:paraId="57360AF7">
      <w:pPr>
        <w:pStyle w:val="18"/>
        <w:numPr>
          <w:ilvl w:val="2"/>
          <w:numId w:val="3"/>
        </w:numPr>
        <w:spacing w:before="312" w:beforeLines="0" w:after="312" w:afterLines="0"/>
        <w:ind w:hanging="2137"/>
        <w:outlineLvl w:val="2"/>
        <w:rPr>
          <w:rFonts w:hint="eastAsia" w:hAnsi="黑体" w:cs="Arial"/>
        </w:rPr>
      </w:pPr>
      <w:r>
        <w:rPr>
          <w:rFonts w:hAnsi="黑体" w:cs="Arial"/>
        </w:rPr>
        <w:t>能</w:t>
      </w:r>
      <w:r>
        <w:rPr>
          <w:rFonts w:hint="eastAsia" w:hAnsi="黑体" w:cs="Arial"/>
        </w:rPr>
        <w:t>碳</w:t>
      </w:r>
      <w:r>
        <w:rPr>
          <w:rFonts w:hAnsi="黑体" w:cs="Arial"/>
        </w:rPr>
        <w:t>预测</w:t>
      </w:r>
    </w:p>
    <w:p w14:paraId="4F4F7A2D">
      <w:pPr>
        <w:spacing w:before="156" w:beforeLines="50" w:after="156" w:afterLines="50"/>
        <w:ind w:firstLine="452" w:firstLineChars="200"/>
        <w:jc w:val="left"/>
        <w:rPr>
          <w:rFonts w:ascii="Helvetica" w:hAnsi="Helvetica" w:cs="Helvetica"/>
          <w:spacing w:val="8"/>
          <w:szCs w:val="21"/>
          <w:shd w:val="clear" w:color="auto" w:fill="FFFFFF"/>
        </w:rPr>
      </w:pPr>
      <w:r>
        <w:rPr>
          <w:rFonts w:ascii="Helvetica" w:hAnsi="Helvetica" w:cs="Helvetica"/>
          <w:spacing w:val="8"/>
          <w:szCs w:val="21"/>
          <w:shd w:val="clear" w:color="auto" w:fill="FFFFFF"/>
        </w:rPr>
        <w:t>根据</w:t>
      </w:r>
      <w:r>
        <w:rPr>
          <w:rFonts w:hint="eastAsia" w:ascii="Helvetica" w:hAnsi="Helvetica" w:cs="Helvetica"/>
          <w:spacing w:val="8"/>
          <w:szCs w:val="21"/>
          <w:shd w:val="clear" w:color="auto" w:fill="FFFFFF"/>
        </w:rPr>
        <w:t>工业企业</w:t>
      </w:r>
      <w:r>
        <w:rPr>
          <w:rFonts w:ascii="Helvetica" w:hAnsi="Helvetica" w:cs="Helvetica"/>
          <w:spacing w:val="8"/>
          <w:szCs w:val="21"/>
          <w:shd w:val="clear" w:color="auto" w:fill="FFFFFF"/>
        </w:rPr>
        <w:t>用户用能</w:t>
      </w:r>
      <w:r>
        <w:rPr>
          <w:rFonts w:hint="eastAsia" w:ascii="Helvetica" w:hAnsi="Helvetica" w:cs="Helvetica"/>
          <w:spacing w:val="8"/>
          <w:szCs w:val="21"/>
          <w:shd w:val="clear" w:color="auto" w:fill="FFFFFF"/>
        </w:rPr>
        <w:t>结构及生产工艺</w:t>
      </w:r>
      <w:r>
        <w:rPr>
          <w:rFonts w:ascii="Helvetica" w:hAnsi="Helvetica" w:cs="Helvetica"/>
          <w:spacing w:val="8"/>
          <w:szCs w:val="21"/>
          <w:shd w:val="clear" w:color="auto" w:fill="FFFFFF"/>
        </w:rPr>
        <w:t>特</w:t>
      </w:r>
      <w:r>
        <w:rPr>
          <w:rFonts w:hint="eastAsia" w:ascii="Helvetica" w:hAnsi="Helvetica" w:cs="Helvetica"/>
          <w:spacing w:val="8"/>
          <w:szCs w:val="21"/>
          <w:shd w:val="clear" w:color="auto" w:fill="FFFFFF"/>
        </w:rPr>
        <w:t>征等基础数据积累</w:t>
      </w:r>
      <w:r>
        <w:rPr>
          <w:rFonts w:ascii="Helvetica" w:hAnsi="Helvetica" w:cs="Helvetica"/>
          <w:spacing w:val="8"/>
          <w:szCs w:val="21"/>
          <w:shd w:val="clear" w:color="auto" w:fill="FFFFFF"/>
        </w:rPr>
        <w:t>，结合</w:t>
      </w:r>
      <w:r>
        <w:rPr>
          <w:rFonts w:hint="eastAsia" w:ascii="Helvetica" w:hAnsi="Helvetica" w:cs="Helvetica"/>
          <w:spacing w:val="8"/>
          <w:szCs w:val="21"/>
          <w:shd w:val="clear" w:color="auto" w:fill="FFFFFF"/>
        </w:rPr>
        <w:t>能源供应、市场需求、碳市场价格波动、</w:t>
      </w:r>
      <w:r>
        <w:rPr>
          <w:rFonts w:ascii="Helvetica" w:hAnsi="Helvetica" w:cs="Helvetica"/>
          <w:spacing w:val="8"/>
          <w:szCs w:val="21"/>
          <w:shd w:val="clear" w:color="auto" w:fill="FFFFFF"/>
        </w:rPr>
        <w:t>外部天气环境</w:t>
      </w:r>
      <w:r>
        <w:rPr>
          <w:rFonts w:hint="eastAsia" w:ascii="Helvetica" w:hAnsi="Helvetica" w:cs="Helvetica"/>
          <w:spacing w:val="8"/>
          <w:szCs w:val="21"/>
          <w:shd w:val="clear" w:color="auto" w:fill="FFFFFF"/>
        </w:rPr>
        <w:t>变化等信息</w:t>
      </w:r>
      <w:r>
        <w:rPr>
          <w:rFonts w:ascii="Helvetica" w:hAnsi="Helvetica" w:cs="Helvetica"/>
          <w:spacing w:val="8"/>
          <w:szCs w:val="21"/>
          <w:shd w:val="clear" w:color="auto" w:fill="FFFFFF"/>
        </w:rPr>
        <w:t>，预测用户</w:t>
      </w:r>
      <w:r>
        <w:rPr>
          <w:rFonts w:hint="eastAsia" w:ascii="Helvetica" w:hAnsi="Helvetica" w:cs="Helvetica"/>
          <w:spacing w:val="8"/>
          <w:szCs w:val="21"/>
          <w:shd w:val="clear" w:color="auto" w:fill="FFFFFF"/>
        </w:rPr>
        <w:t>未来一定时间内能源消耗量、碳排放量变化趋势</w:t>
      </w:r>
      <w:r>
        <w:rPr>
          <w:rFonts w:ascii="Helvetica" w:hAnsi="Helvetica" w:cs="Helvetica"/>
          <w:spacing w:val="8"/>
          <w:szCs w:val="21"/>
          <w:shd w:val="clear" w:color="auto" w:fill="FFFFFF"/>
        </w:rPr>
        <w:t>。</w:t>
      </w:r>
    </w:p>
    <w:p w14:paraId="370EDF06">
      <w:pPr>
        <w:pStyle w:val="18"/>
        <w:numPr>
          <w:ilvl w:val="2"/>
          <w:numId w:val="3"/>
        </w:numPr>
        <w:spacing w:before="312" w:beforeLines="0" w:after="312" w:afterLines="0"/>
        <w:ind w:hanging="2137"/>
        <w:outlineLvl w:val="2"/>
        <w:rPr>
          <w:rFonts w:ascii="Helvetica" w:hAnsi="Helvetica" w:cs="Helvetica"/>
          <w:spacing w:val="8"/>
          <w:szCs w:val="21"/>
          <w:shd w:val="clear" w:color="auto" w:fill="FFFFFF"/>
        </w:rPr>
      </w:pPr>
      <w:r>
        <w:rPr>
          <w:rFonts w:hint="eastAsia" w:hAnsi="黑体" w:cs="Arial"/>
        </w:rPr>
        <w:t>碳交易辅助</w:t>
      </w:r>
    </w:p>
    <w:p w14:paraId="508EB861">
      <w:pPr>
        <w:spacing w:before="156" w:beforeLines="50" w:after="156" w:afterLines="50"/>
        <w:ind w:firstLine="452" w:firstLineChars="200"/>
        <w:jc w:val="left"/>
        <w:rPr>
          <w:rFonts w:ascii="Helvetica" w:hAnsi="Helvetica" w:cs="Helvetica"/>
          <w:spacing w:val="8"/>
          <w:szCs w:val="21"/>
          <w:shd w:val="clear" w:color="auto" w:fill="FFFFFF"/>
        </w:rPr>
      </w:pPr>
      <w:r>
        <w:rPr>
          <w:rFonts w:ascii="Helvetica" w:hAnsi="Helvetica" w:cs="Helvetica"/>
          <w:spacing w:val="8"/>
          <w:szCs w:val="21"/>
          <w:shd w:val="clear" w:color="auto" w:fill="FFFFFF"/>
        </w:rPr>
        <w:t>获取更新并展示碳交易市场的动态资讯，具备碳资产交易信息统计汇总与存储功能，具备风险评估与提前预警交易风险能力。 根据工业企业用户年度碳配额、年度碳排放目标、动态碳排放量、减排项目核定减排量、碳市场价格等相关信息，预测碳交易履约合理时机及预警信息提示，辅助企业碳交易策略制定与计划执行。</w:t>
      </w:r>
    </w:p>
    <w:p w14:paraId="0E443ADB">
      <w:pPr>
        <w:pStyle w:val="18"/>
        <w:numPr>
          <w:ilvl w:val="2"/>
          <w:numId w:val="3"/>
        </w:numPr>
        <w:spacing w:before="312" w:beforeLines="0" w:after="312" w:afterLines="0"/>
        <w:ind w:hanging="2137"/>
        <w:outlineLvl w:val="2"/>
        <w:rPr>
          <w:rFonts w:hint="eastAsia" w:hAnsi="黑体" w:cs="Arial"/>
        </w:rPr>
      </w:pPr>
      <w:r>
        <w:rPr>
          <w:rFonts w:hint="eastAsia" w:hAnsi="黑体" w:cs="Arial"/>
        </w:rPr>
        <w:t>对标考核</w:t>
      </w:r>
    </w:p>
    <w:p w14:paraId="6A92A053">
      <w:pPr>
        <w:spacing w:before="156" w:beforeLines="50" w:after="156" w:afterLines="50"/>
        <w:ind w:firstLine="452" w:firstLineChars="200"/>
        <w:jc w:val="left"/>
        <w:rPr>
          <w:rFonts w:ascii="Helvetica" w:hAnsi="Helvetica" w:cs="Helvetica"/>
          <w:spacing w:val="8"/>
          <w:szCs w:val="21"/>
          <w:shd w:val="clear" w:color="auto" w:fill="FFFFFF"/>
        </w:rPr>
      </w:pPr>
      <w:r>
        <w:rPr>
          <w:rFonts w:ascii="Helvetica" w:hAnsi="Helvetica" w:cs="Helvetica"/>
          <w:spacing w:val="8"/>
          <w:szCs w:val="21"/>
          <w:shd w:val="clear" w:color="auto" w:fill="FFFFFF"/>
        </w:rPr>
        <w:t>对标考核功能使用企业能源消耗数据</w:t>
      </w:r>
      <w:r>
        <w:rPr>
          <w:rFonts w:hint="eastAsia" w:ascii="Helvetica" w:hAnsi="Helvetica" w:cs="Helvetica"/>
          <w:spacing w:val="8"/>
          <w:szCs w:val="21"/>
          <w:shd w:val="clear" w:color="auto" w:fill="FFFFFF"/>
        </w:rPr>
        <w:t>、能效指标、碳排放量及碳强度指标</w:t>
      </w:r>
      <w:r>
        <w:rPr>
          <w:rFonts w:ascii="Helvetica" w:hAnsi="Helvetica" w:cs="Helvetica"/>
          <w:spacing w:val="8"/>
          <w:szCs w:val="21"/>
          <w:shd w:val="clear" w:color="auto" w:fill="FFFFFF"/>
        </w:rPr>
        <w:t>与行业标准或历史</w:t>
      </w:r>
      <w:r>
        <w:rPr>
          <w:rFonts w:hint="eastAsia" w:ascii="Helvetica" w:hAnsi="Helvetica" w:cs="Helvetica"/>
          <w:spacing w:val="8"/>
          <w:szCs w:val="21"/>
          <w:shd w:val="clear" w:color="auto" w:fill="FFFFFF"/>
        </w:rPr>
        <w:t>基准值</w:t>
      </w:r>
      <w:r>
        <w:rPr>
          <w:rFonts w:ascii="Helvetica" w:hAnsi="Helvetica" w:cs="Helvetica"/>
          <w:spacing w:val="8"/>
          <w:szCs w:val="21"/>
          <w:shd w:val="clear" w:color="auto" w:fill="FFFFFF"/>
        </w:rPr>
        <w:t>数据进行比较，评估企业的能源效率和碳排放</w:t>
      </w:r>
      <w:r>
        <w:rPr>
          <w:rFonts w:hint="eastAsia" w:ascii="Helvetica" w:hAnsi="Helvetica" w:cs="Helvetica"/>
          <w:spacing w:val="8"/>
          <w:szCs w:val="21"/>
          <w:shd w:val="clear" w:color="auto" w:fill="FFFFFF"/>
        </w:rPr>
        <w:t>绩效管理</w:t>
      </w:r>
      <w:r>
        <w:rPr>
          <w:rFonts w:ascii="Helvetica" w:hAnsi="Helvetica" w:cs="Helvetica"/>
          <w:spacing w:val="8"/>
          <w:szCs w:val="21"/>
          <w:shd w:val="clear" w:color="auto" w:fill="FFFFFF"/>
        </w:rPr>
        <w:t>水平，帮助企业发现改进空间。</w:t>
      </w:r>
    </w:p>
    <w:p w14:paraId="161D75E8">
      <w:pPr>
        <w:pStyle w:val="18"/>
        <w:numPr>
          <w:ilvl w:val="2"/>
          <w:numId w:val="3"/>
        </w:numPr>
        <w:spacing w:before="312" w:beforeLines="0" w:after="312" w:afterLines="0"/>
        <w:ind w:hanging="2137"/>
        <w:outlineLvl w:val="2"/>
        <w:rPr>
          <w:rFonts w:hint="eastAsia" w:hAnsi="黑体" w:cs="Arial"/>
        </w:rPr>
      </w:pPr>
      <w:r>
        <w:rPr>
          <w:rFonts w:hint="eastAsia" w:hAnsi="黑体" w:cs="Arial"/>
        </w:rPr>
        <w:t>能碳绩效</w:t>
      </w:r>
      <w:r>
        <w:rPr>
          <w:rFonts w:hAnsi="黑体" w:cs="Arial"/>
        </w:rPr>
        <w:t xml:space="preserve">评价 </w:t>
      </w:r>
    </w:p>
    <w:p w14:paraId="03411263">
      <w:pPr>
        <w:spacing w:before="156" w:beforeLines="50" w:after="156" w:afterLines="50"/>
        <w:ind w:firstLine="452" w:firstLineChars="200"/>
        <w:jc w:val="left"/>
        <w:rPr>
          <w:rFonts w:ascii="Helvetica" w:hAnsi="Helvetica" w:cs="Helvetica"/>
          <w:spacing w:val="8"/>
          <w:szCs w:val="21"/>
          <w:shd w:val="clear" w:color="auto" w:fill="FFFFFF"/>
        </w:rPr>
      </w:pPr>
      <w:r>
        <w:rPr>
          <w:rFonts w:hint="eastAsia" w:ascii="Helvetica" w:hAnsi="Helvetica" w:cs="Helvetica"/>
          <w:spacing w:val="8"/>
          <w:szCs w:val="21"/>
          <w:shd w:val="clear" w:color="auto" w:fill="FFFFFF"/>
        </w:rPr>
        <w:t>综合工业企业能源消耗、碳排放量、碳排放强度及产量产值等实际数据，</w:t>
      </w:r>
      <w:r>
        <w:rPr>
          <w:rFonts w:ascii="Helvetica" w:hAnsi="Helvetica" w:cs="Helvetica"/>
          <w:spacing w:val="8"/>
          <w:szCs w:val="21"/>
          <w:shd w:val="clear" w:color="auto" w:fill="FFFFFF"/>
        </w:rPr>
        <w:t>对</w:t>
      </w:r>
      <w:r>
        <w:rPr>
          <w:rFonts w:hint="eastAsia" w:ascii="Helvetica" w:hAnsi="Helvetica" w:cs="Helvetica"/>
          <w:spacing w:val="8"/>
          <w:szCs w:val="21"/>
          <w:shd w:val="clear" w:color="auto" w:fill="FFFFFF"/>
        </w:rPr>
        <w:t>企业</w:t>
      </w:r>
      <w:r>
        <w:rPr>
          <w:rFonts w:ascii="Helvetica" w:hAnsi="Helvetica" w:cs="Helvetica"/>
          <w:spacing w:val="8"/>
          <w:szCs w:val="21"/>
          <w:shd w:val="clear" w:color="auto" w:fill="FFFFFF"/>
        </w:rPr>
        <w:t>用户</w:t>
      </w:r>
      <w:r>
        <w:rPr>
          <w:rFonts w:hint="eastAsia" w:ascii="Helvetica" w:hAnsi="Helvetica" w:cs="Helvetica"/>
          <w:spacing w:val="8"/>
          <w:szCs w:val="21"/>
          <w:shd w:val="clear" w:color="auto" w:fill="FFFFFF"/>
        </w:rPr>
        <w:t>能碳绩效</w:t>
      </w:r>
      <w:r>
        <w:rPr>
          <w:rFonts w:ascii="Helvetica" w:hAnsi="Helvetica" w:cs="Helvetica"/>
          <w:spacing w:val="8"/>
          <w:szCs w:val="21"/>
          <w:shd w:val="clear" w:color="auto" w:fill="FFFFFF"/>
        </w:rPr>
        <w:t>进行</w:t>
      </w:r>
      <w:r>
        <w:rPr>
          <w:rFonts w:hint="eastAsia" w:ascii="Helvetica" w:hAnsi="Helvetica" w:cs="Helvetica"/>
          <w:spacing w:val="8"/>
          <w:szCs w:val="21"/>
          <w:shd w:val="clear" w:color="auto" w:fill="FFFFFF"/>
        </w:rPr>
        <w:t>量化</w:t>
      </w:r>
      <w:r>
        <w:rPr>
          <w:rFonts w:ascii="Helvetica" w:hAnsi="Helvetica" w:cs="Helvetica"/>
          <w:spacing w:val="8"/>
          <w:szCs w:val="21"/>
          <w:shd w:val="clear" w:color="auto" w:fill="FFFFFF"/>
        </w:rPr>
        <w:t>评价，从整体角度</w:t>
      </w:r>
      <w:r>
        <w:rPr>
          <w:rFonts w:hint="eastAsia" w:ascii="Helvetica" w:hAnsi="Helvetica" w:cs="Helvetica"/>
          <w:spacing w:val="8"/>
          <w:szCs w:val="21"/>
          <w:shd w:val="clear" w:color="auto" w:fill="FFFFFF"/>
        </w:rPr>
        <w:t>进行</w:t>
      </w:r>
      <w:r>
        <w:rPr>
          <w:rFonts w:ascii="Helvetica" w:hAnsi="Helvetica" w:cs="Helvetica"/>
          <w:spacing w:val="8"/>
          <w:szCs w:val="21"/>
          <w:shd w:val="clear" w:color="auto" w:fill="FFFFFF"/>
        </w:rPr>
        <w:t>综合评价，</w:t>
      </w:r>
      <w:r>
        <w:rPr>
          <w:rFonts w:hint="eastAsia" w:ascii="Helvetica" w:hAnsi="Helvetica" w:cs="Helvetica"/>
          <w:spacing w:val="8"/>
          <w:szCs w:val="21"/>
          <w:shd w:val="clear" w:color="auto" w:fill="FFFFFF"/>
        </w:rPr>
        <w:t>引导</w:t>
      </w:r>
      <w:r>
        <w:rPr>
          <w:rFonts w:ascii="Helvetica" w:hAnsi="Helvetica" w:cs="Helvetica"/>
          <w:spacing w:val="8"/>
          <w:szCs w:val="21"/>
          <w:shd w:val="clear" w:color="auto" w:fill="FFFFFF"/>
        </w:rPr>
        <w:t>用户</w:t>
      </w:r>
      <w:r>
        <w:rPr>
          <w:rFonts w:hint="eastAsia" w:ascii="Helvetica" w:hAnsi="Helvetica" w:cs="Helvetica"/>
          <w:spacing w:val="8"/>
          <w:szCs w:val="21"/>
          <w:shd w:val="clear" w:color="auto" w:fill="FFFFFF"/>
        </w:rPr>
        <w:t>采取更有利的节能降碳措施</w:t>
      </w:r>
      <w:r>
        <w:rPr>
          <w:rFonts w:ascii="Helvetica" w:hAnsi="Helvetica" w:cs="Helvetica"/>
          <w:spacing w:val="8"/>
          <w:szCs w:val="21"/>
          <w:shd w:val="clear" w:color="auto" w:fill="FFFFFF"/>
        </w:rPr>
        <w:t>。</w:t>
      </w:r>
    </w:p>
    <w:p w14:paraId="726B0FEB">
      <w:pPr>
        <w:pStyle w:val="18"/>
        <w:numPr>
          <w:ilvl w:val="2"/>
          <w:numId w:val="3"/>
        </w:numPr>
        <w:spacing w:before="312" w:beforeLines="0" w:after="312" w:afterLines="0"/>
        <w:ind w:hanging="2137"/>
        <w:outlineLvl w:val="2"/>
        <w:rPr>
          <w:rFonts w:hint="eastAsia" w:hAnsi="黑体" w:cs="Arial"/>
        </w:rPr>
      </w:pPr>
      <w:r>
        <w:rPr>
          <w:rFonts w:hint="eastAsia" w:hAnsi="黑体" w:cs="Arial"/>
        </w:rPr>
        <w:t>节能降碳</w:t>
      </w:r>
      <w:r>
        <w:rPr>
          <w:rFonts w:hAnsi="黑体" w:cs="Arial"/>
        </w:rPr>
        <w:t>策略优化</w:t>
      </w:r>
    </w:p>
    <w:p w14:paraId="104E8DCE">
      <w:pPr>
        <w:spacing w:before="156" w:beforeLines="50" w:after="156" w:afterLines="50"/>
        <w:ind w:firstLine="452" w:firstLineChars="200"/>
        <w:jc w:val="left"/>
        <w:rPr>
          <w:rFonts w:ascii="Helvetica" w:hAnsi="Helvetica" w:cs="Helvetica"/>
          <w:spacing w:val="8"/>
          <w:szCs w:val="21"/>
          <w:shd w:val="clear" w:color="auto" w:fill="FFFFFF"/>
        </w:rPr>
      </w:pPr>
      <w:r>
        <w:rPr>
          <w:rFonts w:ascii="Helvetica" w:hAnsi="Helvetica" w:cs="Helvetica"/>
          <w:spacing w:val="8"/>
          <w:szCs w:val="21"/>
          <w:shd w:val="clear" w:color="auto" w:fill="FFFFFF"/>
        </w:rPr>
        <w:t>根据用户实际用能特点</w:t>
      </w:r>
      <w:r>
        <w:rPr>
          <w:rFonts w:hint="eastAsia" w:ascii="Helvetica" w:hAnsi="Helvetica" w:cs="Helvetica"/>
          <w:spacing w:val="8"/>
          <w:szCs w:val="21"/>
          <w:shd w:val="clear" w:color="auto" w:fill="FFFFFF"/>
        </w:rPr>
        <w:t>及生产工艺特征</w:t>
      </w:r>
      <w:r>
        <w:rPr>
          <w:rFonts w:ascii="Helvetica" w:hAnsi="Helvetica" w:cs="Helvetica"/>
          <w:spacing w:val="8"/>
          <w:szCs w:val="21"/>
          <w:shd w:val="clear" w:color="auto" w:fill="FFFFFF"/>
        </w:rPr>
        <w:t>，</w:t>
      </w:r>
      <w:r>
        <w:rPr>
          <w:rFonts w:hint="eastAsia" w:ascii="Helvetica" w:hAnsi="Helvetica" w:cs="Helvetica"/>
          <w:spacing w:val="8"/>
          <w:szCs w:val="21"/>
          <w:shd w:val="clear" w:color="auto" w:fill="FFFFFF"/>
        </w:rPr>
        <w:t>识别温室气体排放源及高能耗设施，结合</w:t>
      </w:r>
      <w:r>
        <w:rPr>
          <w:rFonts w:ascii="Helvetica" w:hAnsi="Helvetica" w:cs="Helvetica"/>
          <w:spacing w:val="8"/>
          <w:szCs w:val="21"/>
          <w:shd w:val="clear" w:color="auto" w:fill="FFFFFF"/>
        </w:rPr>
        <w:t>实时监测数据，</w:t>
      </w:r>
      <w:r>
        <w:rPr>
          <w:rFonts w:hint="eastAsia" w:ascii="Helvetica" w:hAnsi="Helvetica" w:cs="Helvetica"/>
          <w:spacing w:val="8"/>
          <w:szCs w:val="21"/>
          <w:shd w:val="clear" w:color="auto" w:fill="FFFFFF"/>
        </w:rPr>
        <w:t>从能源结构调优、含碳原料替代、生产工艺升级改进等多方面</w:t>
      </w:r>
      <w:r>
        <w:rPr>
          <w:rFonts w:ascii="Helvetica" w:hAnsi="Helvetica" w:cs="Helvetica"/>
          <w:spacing w:val="8"/>
          <w:szCs w:val="21"/>
          <w:shd w:val="clear" w:color="auto" w:fill="FFFFFF"/>
        </w:rPr>
        <w:t>构建</w:t>
      </w:r>
      <w:r>
        <w:rPr>
          <w:rFonts w:hint="eastAsia" w:ascii="Helvetica" w:hAnsi="Helvetica" w:cs="Helvetica"/>
          <w:spacing w:val="8"/>
          <w:szCs w:val="21"/>
          <w:shd w:val="clear" w:color="auto" w:fill="FFFFFF"/>
        </w:rPr>
        <w:t>节能降碳运行</w:t>
      </w:r>
      <w:r>
        <w:rPr>
          <w:rFonts w:ascii="Helvetica" w:hAnsi="Helvetica" w:cs="Helvetica"/>
          <w:spacing w:val="8"/>
          <w:szCs w:val="21"/>
          <w:shd w:val="clear" w:color="auto" w:fill="FFFFFF"/>
        </w:rPr>
        <w:t>策略模型。</w:t>
      </w:r>
    </w:p>
    <w:p w14:paraId="30A2E3BD">
      <w:pPr>
        <w:pStyle w:val="18"/>
        <w:numPr>
          <w:ilvl w:val="2"/>
          <w:numId w:val="3"/>
        </w:numPr>
        <w:spacing w:before="312" w:beforeLines="0" w:after="312" w:afterLines="0"/>
        <w:ind w:hanging="2137"/>
        <w:outlineLvl w:val="2"/>
        <w:rPr>
          <w:rFonts w:hint="eastAsia" w:hAnsi="黑体" w:cs="Arial"/>
        </w:rPr>
      </w:pPr>
      <w:r>
        <w:rPr>
          <w:rFonts w:hint="eastAsia" w:hAnsi="黑体" w:cs="Arial"/>
        </w:rPr>
        <w:t>碳资产管理</w:t>
      </w:r>
    </w:p>
    <w:p w14:paraId="7407A392">
      <w:pPr>
        <w:spacing w:before="156" w:beforeLines="50" w:after="156" w:afterLines="50"/>
        <w:ind w:firstLine="452" w:firstLineChars="200"/>
        <w:jc w:val="left"/>
        <w:rPr>
          <w:rFonts w:ascii="Helvetica" w:hAnsi="Helvetica" w:cs="Helvetica"/>
          <w:spacing w:val="8"/>
          <w:szCs w:val="21"/>
          <w:shd w:val="clear" w:color="auto" w:fill="FFFFFF"/>
        </w:rPr>
      </w:pPr>
      <w:r>
        <w:rPr>
          <w:rFonts w:ascii="Helvetica" w:hAnsi="Helvetica" w:cs="Helvetica"/>
          <w:spacing w:val="8"/>
          <w:szCs w:val="21"/>
          <w:shd w:val="clear" w:color="auto" w:fill="FFFFFF"/>
        </w:rPr>
        <w:t>工业企业能碳管控中心应具备碳资产管理功能，支持年度碳配额、碳排放总量、年度余额、绿电绿证</w:t>
      </w:r>
      <w:r>
        <w:rPr>
          <w:rFonts w:hint="eastAsia" w:ascii="宋体" w:hAnsi="宋体" w:cs="宋体"/>
          <w:spacing w:val="8"/>
          <w:szCs w:val="21"/>
          <w:shd w:val="clear" w:color="auto" w:fill="FFFFFF"/>
        </w:rPr>
        <w:t>及CCER交</w:t>
      </w:r>
      <w:r>
        <w:rPr>
          <w:rFonts w:ascii="Helvetica" w:hAnsi="Helvetica" w:cs="Helvetica"/>
          <w:spacing w:val="8"/>
          <w:szCs w:val="21"/>
          <w:shd w:val="clear" w:color="auto" w:fill="FFFFFF"/>
        </w:rPr>
        <w:t>易量等碳资产信息录入、计算、分析及展示功能，支持碳资产变化趋势分析，具备配额试算，跟踪统计功能，辅助工业企业碳交易策略制定。</w:t>
      </w:r>
    </w:p>
    <w:p w14:paraId="641B170A">
      <w:pPr>
        <w:pStyle w:val="18"/>
        <w:numPr>
          <w:ilvl w:val="2"/>
          <w:numId w:val="3"/>
        </w:numPr>
        <w:spacing w:before="312" w:beforeLines="0" w:after="312" w:afterLines="0"/>
        <w:ind w:hanging="2137"/>
        <w:outlineLvl w:val="2"/>
        <w:rPr>
          <w:rFonts w:hint="eastAsia" w:hAnsi="黑体" w:cs="Arial"/>
        </w:rPr>
      </w:pPr>
      <w:r>
        <w:rPr>
          <w:rFonts w:hint="eastAsia" w:hAnsi="黑体" w:cs="Arial"/>
        </w:rPr>
        <w:t>碳资产分析</w:t>
      </w:r>
    </w:p>
    <w:p w14:paraId="7E4FD656">
      <w:pPr>
        <w:spacing w:before="156" w:beforeLines="50" w:after="156" w:afterLines="50"/>
        <w:ind w:firstLine="420" w:firstLineChars="200"/>
        <w:jc w:val="left"/>
      </w:pPr>
      <w:r>
        <w:rPr>
          <w:rFonts w:hint="eastAsia"/>
        </w:rPr>
        <w:t>汇总工业企业年度碳排放实际值、年度碳排放配额、年度履约碳排放量、节能项目核定减排量、节能项目投资额等相关信息，结合碳交易市场碳价信息，统计分析企业年度综合节能减排收益及企业碳资产变化情况。</w:t>
      </w:r>
    </w:p>
    <w:p w14:paraId="57DE9D2C">
      <w:pPr>
        <w:pStyle w:val="18"/>
        <w:numPr>
          <w:ilvl w:val="2"/>
          <w:numId w:val="3"/>
        </w:numPr>
        <w:spacing w:before="312" w:beforeLines="0" w:after="312" w:afterLines="0"/>
        <w:ind w:hanging="2137"/>
        <w:outlineLvl w:val="2"/>
        <w:rPr>
          <w:rFonts w:hint="eastAsia" w:hAnsi="黑体" w:cs="Arial"/>
        </w:rPr>
      </w:pPr>
      <w:r>
        <w:rPr>
          <w:rFonts w:hint="eastAsia" w:hAnsi="黑体" w:cs="Arial"/>
        </w:rPr>
        <w:t>碳排放汇总分析</w:t>
      </w:r>
    </w:p>
    <w:p w14:paraId="12408B9C">
      <w:pPr>
        <w:spacing w:before="156" w:beforeLines="50" w:after="156" w:afterLines="50"/>
        <w:ind w:firstLine="420" w:firstLineChars="200"/>
        <w:jc w:val="left"/>
      </w:pPr>
      <w:r>
        <w:rPr>
          <w:rFonts w:hint="eastAsia"/>
        </w:rPr>
        <w:t>按照不同时间维度（实时、日、月、年）、不同核算维度（直接排放、间接排放），基于排放设施为最小核算单元，对工业企业碳排放量以图表多种展示形式分析企业碳排放量，并将核算法获得的碳排放量与实时监测法获得的碳排放量进行对比分析。</w:t>
      </w:r>
    </w:p>
    <w:p w14:paraId="5138A55B">
      <w:pPr>
        <w:pStyle w:val="18"/>
        <w:numPr>
          <w:ilvl w:val="2"/>
          <w:numId w:val="3"/>
        </w:numPr>
        <w:spacing w:before="312" w:beforeLines="0" w:after="312" w:afterLines="0"/>
        <w:ind w:hanging="2137"/>
        <w:outlineLvl w:val="2"/>
        <w:rPr>
          <w:rFonts w:hint="eastAsia" w:hAnsi="黑体" w:cs="Arial"/>
        </w:rPr>
      </w:pPr>
      <w:r>
        <w:rPr>
          <w:rFonts w:hint="eastAsia" w:hAnsi="黑体" w:cs="Arial"/>
        </w:rPr>
        <w:t>碳排放核算报告</w:t>
      </w:r>
    </w:p>
    <w:p w14:paraId="052C6B0E">
      <w:pPr>
        <w:pStyle w:val="23"/>
        <w:adjustRightInd w:val="0"/>
        <w:spacing w:line="311" w:lineRule="atLeast"/>
        <w:jc w:val="left"/>
      </w:pPr>
      <w:r>
        <w:rPr>
          <w:rFonts w:hint="eastAsia"/>
        </w:rPr>
        <w:t>根据GB/T 32150的规定及生态环境部等国家主管部门的相关报告要求，可定期生成工业企业组织边界范围内碳盘查报告。</w:t>
      </w:r>
    </w:p>
    <w:p w14:paraId="1413A725">
      <w:pPr>
        <w:pStyle w:val="18"/>
        <w:numPr>
          <w:ilvl w:val="2"/>
          <w:numId w:val="3"/>
        </w:numPr>
        <w:spacing w:before="312" w:beforeLines="0" w:after="312" w:afterLines="0"/>
        <w:ind w:hanging="2137"/>
        <w:outlineLvl w:val="2"/>
        <w:rPr>
          <w:rFonts w:hint="eastAsia" w:hAnsi="黑体" w:cs="Arial"/>
        </w:rPr>
      </w:pPr>
      <w:r>
        <w:rPr>
          <w:rFonts w:hint="eastAsia" w:hAnsi="黑体" w:cs="Arial"/>
        </w:rPr>
        <w:t>计量器具管理</w:t>
      </w:r>
    </w:p>
    <w:p w14:paraId="50FFEC9D">
      <w:pPr>
        <w:spacing w:before="156" w:beforeLines="50" w:after="156" w:afterLines="50"/>
        <w:ind w:firstLine="420" w:firstLineChars="200"/>
        <w:jc w:val="left"/>
      </w:pPr>
      <w:r>
        <w:rPr>
          <w:rFonts w:hint="eastAsia"/>
        </w:rPr>
        <w:t>对</w:t>
      </w:r>
      <w:r>
        <w:t>用于测量能源消耗</w:t>
      </w:r>
      <w:r>
        <w:rPr>
          <w:rFonts w:hint="eastAsia"/>
        </w:rPr>
        <w:t>、物料消耗、温室气体排放</w:t>
      </w:r>
      <w:r>
        <w:t>的</w:t>
      </w:r>
      <w:r>
        <w:rPr>
          <w:rFonts w:hint="eastAsia"/>
        </w:rPr>
        <w:t>各种计量器具相关信息进行</w:t>
      </w:r>
      <w:r>
        <w:t>维护</w:t>
      </w:r>
      <w:r>
        <w:rPr>
          <w:rFonts w:hint="eastAsia"/>
        </w:rPr>
        <w:t>、记录</w:t>
      </w:r>
      <w:r>
        <w:t>和管理</w:t>
      </w:r>
      <w:r>
        <w:rPr>
          <w:rFonts w:hint="eastAsia"/>
        </w:rPr>
        <w:t>，</w:t>
      </w:r>
      <w:r>
        <w:t>包括</w:t>
      </w:r>
      <w:r>
        <w:rPr>
          <w:rFonts w:hint="eastAsia"/>
        </w:rPr>
        <w:t>运行状态、安装位置、计量精度、品牌型号、</w:t>
      </w:r>
      <w:r>
        <w:t>校准</w:t>
      </w:r>
      <w:r>
        <w:rPr>
          <w:rFonts w:hint="eastAsia"/>
        </w:rPr>
        <w:t>年检日期</w:t>
      </w:r>
      <w:r>
        <w:t>、维护记录和生命周期跟踪，以保证测量数据的准确性和可靠性。</w:t>
      </w:r>
    </w:p>
    <w:p w14:paraId="05252964">
      <w:pPr>
        <w:pStyle w:val="18"/>
        <w:numPr>
          <w:ilvl w:val="2"/>
          <w:numId w:val="3"/>
        </w:numPr>
        <w:spacing w:before="312" w:beforeLines="0" w:after="312" w:afterLines="0"/>
        <w:ind w:hanging="2137"/>
        <w:outlineLvl w:val="2"/>
        <w:rPr>
          <w:rFonts w:hint="eastAsia" w:hAnsi="黑体" w:cs="Arial"/>
        </w:rPr>
      </w:pPr>
      <w:r>
        <w:rPr>
          <w:rFonts w:hint="eastAsia" w:hAnsi="黑体" w:cs="Arial"/>
        </w:rPr>
        <w:t>告警管理</w:t>
      </w:r>
    </w:p>
    <w:p w14:paraId="7DB19972">
      <w:pPr>
        <w:spacing w:before="156" w:beforeLines="50" w:after="156" w:afterLines="50"/>
        <w:ind w:firstLine="420" w:firstLineChars="200"/>
        <w:jc w:val="left"/>
      </w:pPr>
      <w:r>
        <w:rPr>
          <w:rFonts w:hint="eastAsia"/>
        </w:rPr>
        <w:t>对用能浪费、碳排放超标或监测设备离线、通信异常等进行实时监测并发出预警，以便及时采取措施。</w:t>
      </w:r>
    </w:p>
    <w:p w14:paraId="2158AC7E">
      <w:pPr>
        <w:pStyle w:val="18"/>
        <w:numPr>
          <w:ilvl w:val="2"/>
          <w:numId w:val="3"/>
        </w:numPr>
        <w:spacing w:before="312" w:beforeLines="0" w:after="312" w:afterLines="0"/>
        <w:ind w:hanging="2137"/>
        <w:outlineLvl w:val="2"/>
        <w:rPr>
          <w:rFonts w:hint="eastAsia" w:hAnsi="黑体" w:cs="Arial"/>
        </w:rPr>
      </w:pPr>
      <w:r>
        <w:rPr>
          <w:rFonts w:hint="eastAsia" w:hAnsi="黑体" w:cs="Arial"/>
        </w:rPr>
        <w:t>系统管理</w:t>
      </w:r>
    </w:p>
    <w:p w14:paraId="61DE1DD6">
      <w:pPr>
        <w:pStyle w:val="23"/>
        <w:adjustRightInd w:val="0"/>
        <w:spacing w:line="311" w:lineRule="atLeast"/>
        <w:jc w:val="left"/>
      </w:pPr>
      <w:r>
        <w:rPr>
          <w:rFonts w:hint="eastAsia"/>
        </w:rPr>
        <w:t>应具备用户管理、角色管理、日志管理、计量器具配置、采集数据配置、告警配置、碳核算配置、碳配额管理、碳价信息维护等功能配置功能，以满足系统配置需要。</w:t>
      </w:r>
    </w:p>
    <w:p w14:paraId="212B8033">
      <w:pPr>
        <w:pStyle w:val="18"/>
        <w:numPr>
          <w:ilvl w:val="2"/>
          <w:numId w:val="3"/>
        </w:numPr>
        <w:spacing w:before="312" w:beforeLines="0" w:after="312" w:afterLines="0"/>
        <w:ind w:hanging="2137"/>
        <w:outlineLvl w:val="2"/>
        <w:rPr>
          <w:rFonts w:hint="eastAsia" w:hAnsi="黑体" w:cs="Arial"/>
        </w:rPr>
      </w:pPr>
      <w:r>
        <w:rPr>
          <w:rFonts w:hint="eastAsia" w:hAnsi="黑体" w:cs="Arial"/>
        </w:rPr>
        <w:t>应用展示</w:t>
      </w:r>
    </w:p>
    <w:p w14:paraId="1CE1D5C2">
      <w:pPr>
        <w:widowControl/>
        <w:numPr>
          <w:ilvl w:val="255"/>
          <w:numId w:val="0"/>
        </w:numPr>
        <w:spacing w:before="156" w:beforeLines="50" w:after="156" w:afterLines="50"/>
        <w:ind w:firstLine="420" w:firstLineChars="200"/>
        <w:jc w:val="left"/>
      </w:pPr>
      <w:r>
        <w:rPr>
          <w:rFonts w:hint="eastAsia"/>
        </w:rPr>
        <w:t>应支持多终端访问，包括PC、移动设备和大屏幕展示。</w:t>
      </w:r>
    </w:p>
    <w:p w14:paraId="1ED233EB">
      <w:pPr>
        <w:pStyle w:val="18"/>
        <w:numPr>
          <w:ilvl w:val="0"/>
          <w:numId w:val="3"/>
        </w:numPr>
        <w:spacing w:before="312" w:beforeLines="0" w:after="312" w:afterLines="0"/>
        <w:ind w:left="361" w:hanging="361" w:hangingChars="172"/>
        <w:outlineLvl w:val="0"/>
        <w:rPr>
          <w:rFonts w:hint="eastAsia" w:hAnsi="黑体" w:cs="Arial"/>
        </w:rPr>
      </w:pPr>
      <w:r>
        <w:rPr>
          <w:rFonts w:hint="eastAsia" w:hAnsi="黑体" w:cs="Arial"/>
        </w:rPr>
        <w:t>硬件要求</w:t>
      </w:r>
    </w:p>
    <w:p w14:paraId="011E79F1">
      <w:pPr>
        <w:pStyle w:val="18"/>
        <w:numPr>
          <w:ilvl w:val="1"/>
          <w:numId w:val="3"/>
        </w:numPr>
        <w:spacing w:before="156" w:beforeLines="50" w:after="156" w:afterLines="50"/>
        <w:rPr>
          <w:rFonts w:hint="eastAsia" w:ascii="宋体" w:hAnsi="宋体" w:eastAsia="宋体" w:cs="宋体"/>
        </w:rPr>
      </w:pPr>
      <w:r>
        <w:rPr>
          <w:rFonts w:hint="eastAsia" w:ascii="宋体" w:hAnsi="宋体" w:eastAsia="宋体" w:cs="宋体"/>
        </w:rPr>
        <w:t>企业应配置能源计量器具、碳排放计量器具、能源计量网关、服务器、路由器、交换机、存储设备、不间断电源、防火墙、信息安全隔离装置等硬件设备。</w:t>
      </w:r>
    </w:p>
    <w:p w14:paraId="0938D58A">
      <w:pPr>
        <w:pStyle w:val="18"/>
        <w:numPr>
          <w:ilvl w:val="1"/>
          <w:numId w:val="3"/>
        </w:numPr>
        <w:spacing w:before="156" w:beforeLines="50" w:after="156" w:afterLines="50"/>
        <w:outlineLvl w:val="0"/>
        <w:rPr>
          <w:rFonts w:hint="eastAsia" w:ascii="宋体" w:hAnsi="宋体" w:eastAsia="宋体" w:cs="宋体"/>
        </w:rPr>
      </w:pPr>
      <w:r>
        <w:rPr>
          <w:rFonts w:hint="eastAsia" w:ascii="宋体" w:hAnsi="宋体" w:eastAsia="宋体" w:cs="宋体"/>
        </w:rPr>
        <w:t>能源计量器具配备应符合GB 17167的规定，并需要建立设备台账，实现计量器具的全生命周期管理功能。</w:t>
      </w:r>
    </w:p>
    <w:p w14:paraId="6464D172">
      <w:pPr>
        <w:pStyle w:val="18"/>
        <w:numPr>
          <w:ilvl w:val="1"/>
          <w:numId w:val="3"/>
        </w:numPr>
        <w:spacing w:before="156" w:beforeLines="50" w:after="156" w:afterLines="50"/>
        <w:rPr>
          <w:rFonts w:hint="eastAsia" w:ascii="宋体" w:hAnsi="宋体" w:eastAsia="宋体" w:cs="宋体"/>
        </w:rPr>
      </w:pPr>
      <w:r>
        <w:rPr>
          <w:rFonts w:hint="eastAsia" w:ascii="宋体" w:hAnsi="宋体" w:eastAsia="宋体" w:cs="宋体"/>
        </w:rPr>
        <w:t>碳排放计量器具应根据不用行业进行选择，满足各行业、各地方相关的标准和政策要求。</w:t>
      </w:r>
    </w:p>
    <w:p w14:paraId="0AC3DE3E">
      <w:pPr>
        <w:pStyle w:val="18"/>
        <w:numPr>
          <w:ilvl w:val="1"/>
          <w:numId w:val="3"/>
        </w:numPr>
        <w:spacing w:before="156" w:beforeLines="50" w:after="156" w:afterLines="50"/>
        <w:rPr>
          <w:rFonts w:hint="eastAsia" w:ascii="宋体" w:hAnsi="宋体" w:eastAsia="宋体" w:cs="宋体"/>
        </w:rPr>
      </w:pPr>
      <w:r>
        <w:rPr>
          <w:rFonts w:hint="eastAsia" w:ascii="宋体" w:hAnsi="宋体" w:eastAsia="宋体" w:cs="宋体"/>
        </w:rPr>
        <w:t>能源计量网关宜参考GB/T 35031.301的规定，具备数据采集、协议解析、数据处理与上报、断点续传、告警事件发送、控制指令执行及远程运维管理等功能。</w:t>
      </w:r>
    </w:p>
    <w:p w14:paraId="1731A7D3">
      <w:pPr>
        <w:pStyle w:val="18"/>
        <w:numPr>
          <w:ilvl w:val="1"/>
          <w:numId w:val="3"/>
        </w:numPr>
        <w:spacing w:before="156" w:beforeLines="50" w:after="156" w:afterLines="50"/>
        <w:outlineLvl w:val="0"/>
        <w:rPr>
          <w:rFonts w:hint="eastAsia" w:ascii="宋体" w:hAnsi="宋体" w:eastAsia="宋体" w:cs="宋体"/>
        </w:rPr>
      </w:pPr>
      <w:r>
        <w:rPr>
          <w:rFonts w:hint="eastAsia" w:ascii="宋体" w:hAnsi="宋体" w:eastAsia="宋体" w:cs="宋体"/>
        </w:rPr>
        <w:t>服务器、路由器、交换机、存储</w:t>
      </w:r>
      <w:bookmarkStart w:id="1" w:name="_GoBack"/>
      <w:bookmarkEnd w:id="1"/>
      <w:r>
        <w:rPr>
          <w:rFonts w:hint="eastAsia" w:ascii="宋体" w:hAnsi="宋体" w:eastAsia="宋体" w:cs="宋体"/>
        </w:rPr>
        <w:t>设备、不间断电源装置、防火墙宜符合GB/T 40063 的规定。</w:t>
      </w:r>
    </w:p>
    <w:p w14:paraId="66FFFF13">
      <w:pPr>
        <w:pStyle w:val="18"/>
        <w:numPr>
          <w:ilvl w:val="1"/>
          <w:numId w:val="3"/>
        </w:numPr>
        <w:spacing w:before="156" w:beforeLines="50" w:after="156" w:afterLines="50"/>
        <w:rPr>
          <w:rFonts w:hint="eastAsia" w:ascii="宋体" w:hAnsi="宋体" w:eastAsia="宋体" w:cs="宋体"/>
        </w:rPr>
      </w:pPr>
      <w:r>
        <w:rPr>
          <w:rFonts w:hint="eastAsia" w:ascii="宋体" w:hAnsi="宋体" w:eastAsia="宋体" w:cs="宋体"/>
        </w:rPr>
        <w:t>工业企业生产控制网络与工业企业能碳管控中心之间应配置信息安全隔离装置，保障生产控制网络免受来自互联网的威胁与入侵，信息安全隔离装置需满足GB/T 37934的相关规定。</w:t>
      </w:r>
    </w:p>
    <w:p w14:paraId="05E9694D">
      <w:pPr>
        <w:pStyle w:val="18"/>
        <w:numPr>
          <w:ilvl w:val="0"/>
          <w:numId w:val="3"/>
        </w:numPr>
        <w:spacing w:before="312" w:after="312"/>
        <w:ind w:left="361" w:hanging="361" w:hangingChars="172"/>
        <w:outlineLvl w:val="0"/>
        <w:rPr>
          <w:rFonts w:hint="eastAsia" w:hAnsi="黑体" w:cs="Arial"/>
        </w:rPr>
      </w:pPr>
      <w:r>
        <w:rPr>
          <w:rFonts w:hint="eastAsia" w:hAnsi="黑体" w:cs="Arial"/>
        </w:rPr>
        <w:t>运行维护管理</w:t>
      </w:r>
    </w:p>
    <w:p w14:paraId="6CAC3B12">
      <w:pPr>
        <w:pStyle w:val="18"/>
        <w:numPr>
          <w:ilvl w:val="1"/>
          <w:numId w:val="3"/>
        </w:numPr>
        <w:spacing w:before="156" w:beforeLines="50" w:after="156" w:afterLines="50"/>
        <w:rPr>
          <w:rFonts w:hint="eastAsia" w:ascii="黑体" w:hAnsi="黑体" w:eastAsia="黑体" w:cs="黑体"/>
        </w:rPr>
      </w:pPr>
      <w:r>
        <w:rPr>
          <w:rFonts w:hint="eastAsia" w:ascii="黑体" w:hAnsi="黑体" w:eastAsia="黑体" w:cs="黑体"/>
        </w:rPr>
        <w:t>责任主体与管理体系</w:t>
      </w:r>
    </w:p>
    <w:p w14:paraId="667969F0">
      <w:pPr>
        <w:pStyle w:val="18"/>
        <w:keepNext w:val="0"/>
        <w:keepLines w:val="0"/>
        <w:pageBreakBefore w:val="0"/>
        <w:widowControl/>
        <w:kinsoku/>
        <w:wordWrap/>
        <w:overflowPunct/>
        <w:topLinePunct w:val="0"/>
        <w:autoSpaceDE/>
        <w:autoSpaceDN/>
        <w:bidi w:val="0"/>
        <w:adjustRightInd/>
        <w:snapToGrid/>
        <w:spacing w:before="156" w:beforeLines="50" w:after="156" w:afterLines="50"/>
        <w:ind w:firstLine="420" w:firstLineChars="200"/>
        <w:textAlignment w:val="auto"/>
        <w:rPr>
          <w:rFonts w:hint="eastAsia" w:ascii="宋体" w:hAnsi="宋体" w:eastAsia="宋体" w:cs="宋体"/>
        </w:rPr>
      </w:pPr>
      <w:r>
        <w:rPr>
          <w:rFonts w:hint="eastAsia" w:ascii="宋体" w:hAnsi="宋体" w:eastAsia="宋体" w:cs="宋体"/>
        </w:rPr>
        <w:t>应明确能碳管控中心运行维护管理的责任主体，制定全面的能碳管控中心运行维护管理制度，明确岗位职责、权限范围及审批流程。</w:t>
      </w:r>
    </w:p>
    <w:p w14:paraId="320A62FF">
      <w:pPr>
        <w:pStyle w:val="18"/>
        <w:numPr>
          <w:ilvl w:val="1"/>
          <w:numId w:val="3"/>
        </w:numPr>
        <w:spacing w:before="156" w:beforeLines="50" w:after="156" w:afterLines="50"/>
        <w:rPr>
          <w:rFonts w:ascii="宋体" w:hAnsi="宋体" w:eastAsia="宋体" w:cs="宋体"/>
        </w:rPr>
      </w:pPr>
      <w:r>
        <w:rPr>
          <w:rFonts w:hint="eastAsia" w:ascii="黑体" w:hAnsi="黑体" w:eastAsia="黑体" w:cs="黑体"/>
        </w:rPr>
        <w:t>人员能力与培训</w:t>
      </w:r>
    </w:p>
    <w:p w14:paraId="094D02AA">
      <w:pPr>
        <w:pStyle w:val="18"/>
        <w:numPr>
          <w:ilvl w:val="2"/>
          <w:numId w:val="3"/>
        </w:numPr>
        <w:spacing w:before="156" w:beforeLines="50" w:after="156" w:afterLines="50"/>
        <w:ind w:left="2137" w:leftChars="0" w:hanging="2137" w:firstLineChars="0"/>
        <w:rPr>
          <w:rFonts w:hint="eastAsia" w:ascii="宋体" w:hAnsi="宋体" w:eastAsia="宋体" w:cs="宋体"/>
        </w:rPr>
      </w:pPr>
      <w:r>
        <w:rPr>
          <w:rFonts w:hint="eastAsia" w:ascii="宋体" w:hAnsi="宋体" w:eastAsia="宋体" w:cs="宋体"/>
        </w:rPr>
        <w:t>应定期组织能碳管控中心运维人员参加专业培训，提高运维人员的专业技能和知识水平。</w:t>
      </w:r>
    </w:p>
    <w:p w14:paraId="5AE21A84">
      <w:pPr>
        <w:pStyle w:val="18"/>
        <w:numPr>
          <w:ilvl w:val="2"/>
          <w:numId w:val="3"/>
        </w:numPr>
        <w:spacing w:before="156" w:beforeLines="50" w:after="156" w:afterLines="50"/>
        <w:ind w:left="2137" w:leftChars="0" w:hanging="2137" w:firstLineChars="0"/>
        <w:rPr>
          <w:rFonts w:hint="eastAsia" w:ascii="宋体" w:hAnsi="宋体" w:eastAsia="宋体" w:cs="宋体"/>
        </w:rPr>
      </w:pPr>
      <w:r>
        <w:rPr>
          <w:rFonts w:hint="eastAsia" w:ascii="宋体" w:hAnsi="宋体" w:eastAsia="宋体" w:cs="宋体"/>
        </w:rPr>
        <w:t>宜建立运行维护人员考核机制，包括理论考核与实操评价，考核结果应作为岗位资格认定的依据。</w:t>
      </w:r>
    </w:p>
    <w:p w14:paraId="200254E8">
      <w:pPr>
        <w:pStyle w:val="18"/>
        <w:numPr>
          <w:ilvl w:val="1"/>
          <w:numId w:val="3"/>
        </w:numPr>
        <w:spacing w:before="156" w:beforeLines="50" w:after="156" w:afterLines="50"/>
        <w:rPr>
          <w:rFonts w:hint="eastAsia" w:ascii="黑体" w:hAnsi="黑体" w:eastAsia="黑体" w:cs="黑体"/>
        </w:rPr>
      </w:pPr>
      <w:r>
        <w:rPr>
          <w:rFonts w:hint="eastAsia" w:ascii="黑体" w:hAnsi="黑体" w:eastAsia="黑体" w:cs="黑体"/>
        </w:rPr>
        <w:t>数据质量管理</w:t>
      </w:r>
    </w:p>
    <w:p w14:paraId="7594FD7A">
      <w:pPr>
        <w:pStyle w:val="18"/>
        <w:numPr>
          <w:ilvl w:val="2"/>
          <w:numId w:val="3"/>
        </w:numPr>
        <w:spacing w:before="156" w:beforeLines="50" w:after="156" w:afterLines="50"/>
        <w:ind w:left="17" w:leftChars="0" w:hanging="17" w:firstLineChars="0"/>
        <w:rPr>
          <w:rFonts w:hint="eastAsia" w:ascii="宋体" w:hAnsi="宋体" w:eastAsia="宋体" w:cs="宋体"/>
        </w:rPr>
      </w:pPr>
      <w:r>
        <w:rPr>
          <w:rFonts w:hint="eastAsia" w:ascii="宋体" w:hAnsi="宋体" w:eastAsia="宋体" w:cs="宋体"/>
        </w:rPr>
        <w:t>应规范数据全流程管理，包括数据采集、传输、存储、处理及分析等环节，确保数据的准确性、完整性、及时性和可追溯性。</w:t>
      </w:r>
    </w:p>
    <w:p w14:paraId="55DFFCB7">
      <w:pPr>
        <w:pStyle w:val="18"/>
        <w:numPr>
          <w:ilvl w:val="2"/>
          <w:numId w:val="3"/>
        </w:numPr>
        <w:spacing w:before="156" w:beforeLines="50" w:after="156" w:afterLines="50"/>
        <w:ind w:left="17" w:leftChars="0" w:hanging="17" w:firstLineChars="0"/>
        <w:rPr>
          <w:rFonts w:hint="eastAsia" w:ascii="宋体" w:hAnsi="宋体" w:eastAsia="宋体" w:cs="宋体"/>
        </w:rPr>
      </w:pPr>
      <w:r>
        <w:rPr>
          <w:rFonts w:hint="eastAsia" w:ascii="宋体" w:hAnsi="宋体" w:eastAsia="宋体" w:cs="宋体"/>
        </w:rPr>
        <w:t>应建立数据质量评估机制，包括制定数据质量评价指标及考核周期、定期开展数据质量核查、明确数据异常处置流程并形成闭环管理记录。</w:t>
      </w:r>
    </w:p>
    <w:p w14:paraId="56C5285C">
      <w:pPr>
        <w:pStyle w:val="18"/>
        <w:numPr>
          <w:ilvl w:val="1"/>
          <w:numId w:val="3"/>
        </w:numPr>
        <w:spacing w:before="156" w:beforeLines="50" w:after="156" w:afterLines="50"/>
        <w:rPr>
          <w:rFonts w:hint="eastAsia" w:ascii="黑体" w:hAnsi="黑体" w:eastAsia="黑体" w:cs="黑体"/>
        </w:rPr>
      </w:pPr>
      <w:r>
        <w:rPr>
          <w:rFonts w:hint="eastAsia" w:ascii="黑体" w:hAnsi="黑体" w:eastAsia="黑体" w:cs="黑体"/>
        </w:rPr>
        <w:t>系统维护与保障</w:t>
      </w:r>
    </w:p>
    <w:p w14:paraId="7E0E541F">
      <w:pPr>
        <w:pStyle w:val="18"/>
        <w:numPr>
          <w:ilvl w:val="2"/>
          <w:numId w:val="3"/>
        </w:numPr>
        <w:spacing w:before="156" w:beforeLines="50" w:after="156" w:afterLines="50"/>
        <w:ind w:left="17" w:leftChars="0" w:hanging="17" w:firstLineChars="0"/>
        <w:rPr>
          <w:rFonts w:hint="eastAsia" w:ascii="宋体" w:hAnsi="宋体" w:eastAsia="宋体" w:cs="宋体"/>
        </w:rPr>
      </w:pPr>
      <w:r>
        <w:rPr>
          <w:rFonts w:hint="eastAsia" w:ascii="宋体" w:hAnsi="宋体" w:eastAsia="宋体" w:cs="宋体"/>
        </w:rPr>
        <w:t>应制定系统维护规程，包括日常巡检、定期保养、故障处置等内容，定期对软、硬件系统进行检查、维护和升级，保证系统持续、稳定、安全、可靠运行，并做好维护记录。</w:t>
      </w:r>
    </w:p>
    <w:p w14:paraId="487D77E7">
      <w:pPr>
        <w:pStyle w:val="18"/>
        <w:numPr>
          <w:ilvl w:val="2"/>
          <w:numId w:val="3"/>
        </w:numPr>
        <w:spacing w:before="156" w:beforeLines="50" w:after="156" w:afterLines="50"/>
        <w:ind w:left="17" w:leftChars="0" w:hanging="17" w:firstLineChars="0"/>
        <w:rPr>
          <w:rFonts w:hint="eastAsia" w:ascii="宋体" w:hAnsi="宋体" w:eastAsia="宋体" w:cs="宋体"/>
        </w:rPr>
      </w:pPr>
      <w:r>
        <w:rPr>
          <w:rFonts w:hint="eastAsia" w:ascii="宋体" w:hAnsi="宋体" w:eastAsia="宋体" w:cs="宋体"/>
        </w:rPr>
        <w:t>应建立系统应急预案，明确故障分级响应机制，关键系统故障恢复时间宜不超过4小时。</w:t>
      </w:r>
    </w:p>
    <w:p w14:paraId="46578E69">
      <w:pPr>
        <w:pStyle w:val="18"/>
        <w:numPr>
          <w:ilvl w:val="1"/>
          <w:numId w:val="3"/>
        </w:numPr>
        <w:spacing w:before="156" w:beforeLines="50" w:after="156" w:afterLines="50"/>
        <w:rPr>
          <w:rFonts w:hint="eastAsia" w:ascii="黑体" w:hAnsi="黑体" w:eastAsia="黑体" w:cs="黑体"/>
        </w:rPr>
      </w:pPr>
      <w:r>
        <w:rPr>
          <w:rFonts w:hint="eastAsia" w:ascii="黑体" w:hAnsi="黑体" w:eastAsia="黑体" w:cs="黑体"/>
        </w:rPr>
        <w:t>智能化技术应用</w:t>
      </w:r>
    </w:p>
    <w:p w14:paraId="79CD7D11">
      <w:pPr>
        <w:pStyle w:val="18"/>
        <w:numPr>
          <w:ilvl w:val="2"/>
          <w:numId w:val="3"/>
        </w:numPr>
        <w:spacing w:before="156" w:beforeLines="50" w:after="156" w:afterLines="50"/>
        <w:ind w:left="17" w:leftChars="0" w:hanging="17" w:firstLineChars="0"/>
        <w:rPr>
          <w:rFonts w:hint="eastAsia" w:ascii="宋体" w:hAnsi="宋体" w:eastAsia="宋体" w:cs="宋体"/>
        </w:rPr>
      </w:pPr>
      <w:r>
        <w:rPr>
          <w:rFonts w:hint="eastAsia" w:ascii="宋体" w:hAnsi="宋体" w:eastAsia="宋体" w:cs="宋体"/>
        </w:rPr>
        <w:t>宜采用大数据分析、人工智能等技术，实现能碳数据的智能诊断、预测及优化建议。</w:t>
      </w:r>
    </w:p>
    <w:p w14:paraId="437A7ECC">
      <w:pPr>
        <w:pStyle w:val="18"/>
        <w:numPr>
          <w:ilvl w:val="2"/>
          <w:numId w:val="3"/>
        </w:numPr>
        <w:spacing w:before="156" w:beforeLines="50" w:after="156" w:afterLines="50"/>
        <w:ind w:left="17" w:leftChars="0" w:hanging="17" w:firstLineChars="0"/>
        <w:rPr>
          <w:rFonts w:hint="eastAsia" w:ascii="宋体" w:hAnsi="宋体" w:eastAsia="宋体" w:cs="宋体"/>
        </w:rPr>
      </w:pPr>
      <w:r>
        <w:rPr>
          <w:rFonts w:hint="eastAsia" w:ascii="宋体" w:hAnsi="宋体" w:eastAsia="宋体" w:cs="宋体"/>
        </w:rPr>
        <w:t>可建立运行维护知识库，积累典型故障案例及解决方案，支持运维经验的共享与复用。</w:t>
      </w:r>
    </w:p>
    <w:p w14:paraId="11BA7E92">
      <w:pPr>
        <w:pStyle w:val="18"/>
        <w:numPr>
          <w:ilvl w:val="1"/>
          <w:numId w:val="3"/>
        </w:numPr>
        <w:spacing w:before="156" w:beforeLines="50" w:after="156" w:afterLines="50"/>
        <w:rPr>
          <w:rFonts w:hint="eastAsia" w:ascii="黑体" w:hAnsi="黑体" w:eastAsia="黑体" w:cs="黑体"/>
        </w:rPr>
      </w:pPr>
      <w:r>
        <w:rPr>
          <w:rFonts w:hint="eastAsia" w:ascii="黑体" w:hAnsi="黑体" w:eastAsia="黑体" w:cs="黑体"/>
        </w:rPr>
        <w:t>安全与风险管理</w:t>
      </w:r>
    </w:p>
    <w:p w14:paraId="1234345E">
      <w:pPr>
        <w:pStyle w:val="18"/>
        <w:numPr>
          <w:ilvl w:val="2"/>
          <w:numId w:val="3"/>
        </w:numPr>
        <w:spacing w:before="156" w:beforeLines="50" w:after="156" w:afterLines="50"/>
        <w:ind w:left="17" w:leftChars="0" w:hanging="17" w:firstLineChars="0"/>
        <w:rPr>
          <w:rFonts w:hint="eastAsia" w:ascii="宋体" w:hAnsi="宋体" w:eastAsia="宋体" w:cs="宋体"/>
        </w:rPr>
      </w:pPr>
      <w:r>
        <w:rPr>
          <w:rFonts w:hint="eastAsia" w:ascii="宋体" w:hAnsi="宋体" w:eastAsia="宋体" w:cs="宋体"/>
        </w:rPr>
        <w:t>应定期开展安全风险评估，识别潜在风险并制定防控措施，评估周期不宜超过1年。</w:t>
      </w:r>
    </w:p>
    <w:p w14:paraId="7C99E697">
      <w:pPr>
        <w:pStyle w:val="18"/>
        <w:numPr>
          <w:ilvl w:val="2"/>
          <w:numId w:val="3"/>
        </w:numPr>
        <w:spacing w:before="156" w:beforeLines="50" w:after="156" w:afterLines="50"/>
        <w:ind w:left="17" w:leftChars="0" w:hanging="17" w:firstLineChars="0"/>
        <w:rPr>
          <w:rFonts w:hint="eastAsia" w:ascii="宋体" w:hAnsi="宋体" w:eastAsia="宋体" w:cs="宋体"/>
        </w:rPr>
      </w:pPr>
      <w:r>
        <w:rPr>
          <w:rFonts w:hint="eastAsia" w:ascii="宋体" w:hAnsi="宋体" w:eastAsia="宋体" w:cs="宋体"/>
        </w:rPr>
        <w:t>应建立数据容灾备份机制，对系统文件定期整理、存档、备份，关键数据备份频率不低于每日1次。备份数据保存周期不低于5年。</w:t>
      </w:r>
    </w:p>
    <w:p w14:paraId="2B8804CB">
      <w:pPr>
        <w:jc w:val="center"/>
      </w:pPr>
      <w:r>
        <mc:AlternateContent>
          <mc:Choice Requires="wps">
            <w:drawing>
              <wp:inline distT="0" distB="0" distL="114300" distR="114300">
                <wp:extent cx="2272665" cy="0"/>
                <wp:effectExtent l="0" t="4445" r="0" b="5080"/>
                <wp:docPr id="19" name="AutoShape 18"/>
                <wp:cNvGraphicFramePr/>
                <a:graphic xmlns:a="http://schemas.openxmlformats.org/drawingml/2006/main">
                  <a:graphicData uri="http://schemas.microsoft.com/office/word/2010/wordprocessingShape">
                    <wps:wsp>
                      <wps:cNvCnPr>
                        <a:cxnSpLocks noChangeShapeType="1"/>
                      </wps:cNvCnPr>
                      <wps:spPr bwMode="auto">
                        <a:xfrm>
                          <a:off x="0" y="0"/>
                          <a:ext cx="2272665" cy="0"/>
                        </a:xfrm>
                        <a:prstGeom prst="straightConnector1">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shape id="AutoShape 18" o:spid="_x0000_s1026" o:spt="32" type="#_x0000_t32" style="height:0pt;width:178.95pt;" filled="f" stroked="t" coordsize="21600,21600" o:gfxdata="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VXGoy0gAAAAIBAAAPAAAAAAAAAAEAIAAAACIAAABkcnMvZG93&#10;bnJldi54bWxQSwECFAAUAAAACACHTuJA8ykKgwYCAAAdBAAADgAAAAAAAAABACAAAAAhAQAAZHJz&#10;L2Uyb0RvYy54bWxQSwUGAAAAAAYABgBZAQAAmQUAAAAA&#10;">
                <v:fill on="f" focussize="0,0"/>
                <v:stroke color="#000000 [3200]" joinstyle="round"/>
                <v:imagedata o:title=""/>
                <o:lock v:ext="edit" aspectratio="f"/>
                <w10:wrap type="none"/>
                <w10:anchorlock/>
              </v:shape>
            </w:pict>
          </mc:Fallback>
        </mc:AlternateContent>
      </w:r>
    </w:p>
    <w:sectPr>
      <w:pgSz w:w="11906" w:h="16838"/>
      <w:pgMar w:top="1418" w:right="1134"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方正小标宋简体">
    <w:altName w:val="微软雅黑"/>
    <w:panose1 w:val="00000000000000000000"/>
    <w:charset w:val="86"/>
    <w:family w:val="auto"/>
    <w:pitch w:val="default"/>
    <w:sig w:usb0="00000000" w:usb1="00000000" w:usb2="00000000" w:usb3="00000000" w:csb0="00040000" w:csb1="00000000"/>
  </w:font>
  <w:font w:name="Candara">
    <w:panose1 w:val="020E0502030303020204"/>
    <w:charset w:val="00"/>
    <w:family w:val="swiss"/>
    <w:pitch w:val="default"/>
    <w:sig w:usb0="A00002EF" w:usb1="4000A44B" w:usb2="00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7404C">
    <w:pPr>
      <w:pStyle w:val="6"/>
      <w:pBdr>
        <w:bottom w:val="none" w:color="auto" w:sz="0" w:space="0"/>
      </w:pBdr>
      <w:jc w:val="right"/>
      <w:rPr>
        <w:rFonts w:ascii="Candara" w:hAnsi="Candara"/>
        <w:color w:val="FF0000"/>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232375">
    <w:pPr>
      <w:pStyle w:val="19"/>
      <w:ind w:firstLine="0" w:firstLineChars="0"/>
      <w:jc w:val="right"/>
    </w:pPr>
    <w:r>
      <w:rPr>
        <w:rFonts w:hint="eastAsia" w:ascii="Times New Roman" w:eastAsia="黑体"/>
        <w:szCs w:val="21"/>
      </w:rPr>
      <w:t>T/EES xxx—xxxx</w:t>
    </w:r>
  </w:p>
  <w:p w14:paraId="3A140137">
    <w:pPr>
      <w:pStyle w:val="19"/>
      <w:ind w:right="-2" w:firstLine="0" w:firstLineChars="0"/>
      <w:jc w:val="right"/>
      <w:rPr>
        <w:rFonts w:eastAsiaTheme="minor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93A2D">
    <w:pPr>
      <w:pStyle w:val="6"/>
      <w:pBdr>
        <w:bottom w:val="none" w:color="auto" w:sz="0" w:space="0"/>
      </w:pBdr>
      <w:jc w:val="right"/>
      <w:rPr>
        <w:color w:val="000000"/>
        <w:sz w:val="21"/>
        <w:szCs w:val="21"/>
      </w:rPr>
    </w:pPr>
    <w:r>
      <w:rPr>
        <w:color w:val="000000"/>
        <w:sz w:val="21"/>
        <w:szCs w:val="21"/>
      </w:rPr>
      <w:t>T/EES</w:t>
    </w:r>
    <w:r>
      <w:rPr>
        <w:rFonts w:hint="eastAsia"/>
        <w:color w:val="000000"/>
        <w:sz w:val="21"/>
        <w:szCs w:val="21"/>
      </w:rPr>
      <w:t xml:space="preserve"> xxxx</w:t>
    </w:r>
    <w:r>
      <w:rPr>
        <w:color w:val="000000"/>
        <w:sz w:val="21"/>
        <w:szCs w:val="21"/>
      </w:rPr>
      <w:t>-</w:t>
    </w:r>
    <w:r>
      <w:rPr>
        <w:rFonts w:hint="eastAsia"/>
        <w:color w:val="000000"/>
        <w:sz w:val="21"/>
        <w:szCs w:val="21"/>
      </w:rPr>
      <w:t>xxxx</w:t>
    </w:r>
  </w:p>
  <w:p w14:paraId="09E99908">
    <w:pPr>
      <w:pStyle w:val="6"/>
      <w:pBdr>
        <w:bottom w:val="none" w:color="auto" w:sz="0" w:space="0"/>
      </w:pBdr>
      <w:jc w:val="right"/>
      <w:rPr>
        <w:rFonts w:ascii="Candara" w:hAnsi="Candara"/>
        <w:color w:val="FF0000"/>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673021"/>
    <w:multiLevelType w:val="multilevel"/>
    <w:tmpl w:val="24673021"/>
    <w:lvl w:ilvl="0" w:tentative="0">
      <w:start w:val="1"/>
      <w:numFmt w:val="decimal"/>
      <w:suff w:val="space"/>
      <w:lvlText w:val="%1."/>
      <w:lvlJc w:val="left"/>
      <w:pPr>
        <w:ind w:left="336" w:hanging="336"/>
      </w:pPr>
    </w:lvl>
    <w:lvl w:ilvl="1" w:tentative="0">
      <w:start w:val="1"/>
      <w:numFmt w:val="decimal"/>
      <w:lvlText w:val="%1.%2."/>
      <w:lvlJc w:val="left"/>
      <w:pPr>
        <w:ind w:left="924" w:hanging="504"/>
      </w:pPr>
    </w:lvl>
    <w:lvl w:ilvl="2" w:tentative="0">
      <w:start w:val="1"/>
      <w:numFmt w:val="decimal"/>
      <w:lvlText w:val="%1.%2.%3."/>
      <w:lvlJc w:val="left"/>
      <w:pPr>
        <w:ind w:left="1512" w:hanging="672"/>
      </w:pPr>
    </w:lvl>
    <w:lvl w:ilvl="3" w:tentative="0">
      <w:start w:val="1"/>
      <w:numFmt w:val="decimal"/>
      <w:lvlText w:val="%1.%2.%3.%4."/>
      <w:lvlJc w:val="left"/>
      <w:pPr>
        <w:ind w:left="2100" w:hanging="840"/>
      </w:pPr>
    </w:lvl>
    <w:lvl w:ilvl="4" w:tentative="0">
      <w:start w:val="1"/>
      <w:numFmt w:val="decimal"/>
      <w:lvlText w:val="%1.%2.%3.%4.%5."/>
      <w:lvlJc w:val="left"/>
      <w:pPr>
        <w:ind w:left="2688" w:hanging="1008"/>
      </w:pPr>
    </w:lvl>
    <w:lvl w:ilvl="5" w:tentative="0">
      <w:start w:val="1"/>
      <w:numFmt w:val="decimal"/>
      <w:lvlText w:val="%1.%2.%3.%4.%5.%6."/>
      <w:lvlJc w:val="left"/>
      <w:pPr>
        <w:ind w:left="3276" w:hanging="1176"/>
      </w:pPr>
    </w:lvl>
    <w:lvl w:ilvl="6" w:tentative="0">
      <w:start w:val="1"/>
      <w:numFmt w:val="decimal"/>
      <w:lvlText w:val="%1.%2.%3.%4.%5.%6.%7."/>
      <w:lvlJc w:val="left"/>
      <w:pPr>
        <w:ind w:left="3864" w:hanging="1344"/>
      </w:pPr>
    </w:lvl>
    <w:lvl w:ilvl="7" w:tentative="0">
      <w:start w:val="1"/>
      <w:numFmt w:val="decimal"/>
      <w:lvlText w:val="%1.%2.%3.%4.%5.%6.%7.%8."/>
      <w:lvlJc w:val="left"/>
      <w:pPr>
        <w:ind w:left="4452" w:hanging="1512"/>
      </w:pPr>
    </w:lvl>
    <w:lvl w:ilvl="8" w:tentative="0">
      <w:start w:val="1"/>
      <w:numFmt w:val="decimal"/>
      <w:lvlText w:val="%1.%2.%3.%4.%5.%6.%7.%8.%9."/>
      <w:lvlJc w:val="left"/>
      <w:pPr>
        <w:ind w:left="5040" w:hanging="1680"/>
      </w:pPr>
    </w:lvl>
  </w:abstractNum>
  <w:abstractNum w:abstractNumId="1">
    <w:nsid w:val="29CC835B"/>
    <w:multiLevelType w:val="singleLevel"/>
    <w:tmpl w:val="29CC835B"/>
    <w:lvl w:ilvl="0" w:tentative="0">
      <w:start w:val="1"/>
      <w:numFmt w:val="decimal"/>
      <w:suff w:val="nothing"/>
      <w:lvlText w:val="%1）"/>
      <w:lvlJc w:val="left"/>
    </w:lvl>
  </w:abstractNum>
  <w:abstractNum w:abstractNumId="2">
    <w:nsid w:val="518FA54F"/>
    <w:multiLevelType w:val="singleLevel"/>
    <w:tmpl w:val="518FA54F"/>
    <w:lvl w:ilvl="0" w:tentative="0">
      <w:start w:val="1"/>
      <w:numFmt w:val="decimal"/>
      <w:suff w:val="nothing"/>
      <w:lvlText w:val="%1）"/>
      <w:lvlJc w:val="left"/>
    </w:lvl>
  </w:abstractNum>
  <w:abstractNum w:abstractNumId="3">
    <w:nsid w:val="632EAF55"/>
    <w:multiLevelType w:val="multilevel"/>
    <w:tmpl w:val="632EAF55"/>
    <w:lvl w:ilvl="0" w:tentative="0">
      <w:start w:val="3"/>
      <w:numFmt w:val="decimal"/>
      <w:suff w:val="space"/>
      <w:lvlText w:val="%1"/>
      <w:lvlJc w:val="left"/>
      <w:pPr>
        <w:ind w:left="360" w:hanging="360"/>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2137" w:hanging="720"/>
      </w:pPr>
      <w:rPr>
        <w:rFonts w:hint="default" w:ascii="宋体" w:hAnsi="宋体" w:eastAsia="宋体" w:cs="宋体"/>
      </w:rPr>
    </w:lvl>
    <w:lvl w:ilvl="3" w:tentative="0">
      <w:start w:val="1"/>
      <w:numFmt w:val="decimal"/>
      <w:suff w:val="space"/>
      <w:lvlText w:val="%1.%2.%3.%4"/>
      <w:lvlJc w:val="left"/>
      <w:pPr>
        <w:ind w:left="3660" w:hanging="1080"/>
      </w:pPr>
      <w:rPr>
        <w:rFonts w:hint="default"/>
      </w:rPr>
    </w:lvl>
    <w:lvl w:ilvl="4" w:tentative="0">
      <w:start w:val="1"/>
      <w:numFmt w:val="decimal"/>
      <w:lvlText w:val="%1.%2.%3.%4.%5"/>
      <w:lvlJc w:val="left"/>
      <w:pPr>
        <w:ind w:left="4520" w:hanging="1080"/>
      </w:pPr>
      <w:rPr>
        <w:rFonts w:hint="default"/>
      </w:rPr>
    </w:lvl>
    <w:lvl w:ilvl="5" w:tentative="0">
      <w:start w:val="1"/>
      <w:numFmt w:val="decimal"/>
      <w:lvlText w:val="%1.%2.%3.%4.%5.%6"/>
      <w:lvlJc w:val="left"/>
      <w:pPr>
        <w:ind w:left="5740" w:hanging="1440"/>
      </w:pPr>
      <w:rPr>
        <w:rFonts w:hint="default"/>
      </w:rPr>
    </w:lvl>
    <w:lvl w:ilvl="6" w:tentative="0">
      <w:start w:val="1"/>
      <w:numFmt w:val="decimal"/>
      <w:lvlText w:val="%1.%2.%3.%4.%5.%6.%7"/>
      <w:lvlJc w:val="left"/>
      <w:pPr>
        <w:ind w:left="6600" w:hanging="1440"/>
      </w:pPr>
      <w:rPr>
        <w:rFonts w:hint="default"/>
      </w:rPr>
    </w:lvl>
    <w:lvl w:ilvl="7" w:tentative="0">
      <w:start w:val="1"/>
      <w:numFmt w:val="decimal"/>
      <w:lvlText w:val="%1.%2.%3.%4.%5.%6.%7.%8"/>
      <w:lvlJc w:val="left"/>
      <w:pPr>
        <w:ind w:left="7820" w:hanging="1800"/>
      </w:pPr>
      <w:rPr>
        <w:rFonts w:hint="default"/>
      </w:rPr>
    </w:lvl>
    <w:lvl w:ilvl="8" w:tentative="0">
      <w:start w:val="1"/>
      <w:numFmt w:val="decimal"/>
      <w:lvlText w:val="%1.%2.%3.%4.%5.%6.%7.%8.%9"/>
      <w:lvlJc w:val="left"/>
      <w:pPr>
        <w:ind w:left="8680" w:hanging="1800"/>
      </w:pPr>
      <w:rPr>
        <w:rFonts w:hint="default"/>
      </w:rPr>
    </w:lvl>
  </w:abstractNum>
  <w:abstractNum w:abstractNumId="4">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210" w:firstLine="0"/>
      </w:pPr>
      <w:rPr>
        <w:rFonts w:hint="eastAsia" w:ascii="黑体" w:hAnsi="Times New Roman" w:eastAsia="黑体"/>
        <w:b w:val="0"/>
        <w:i w:val="0"/>
        <w:sz w:val="21"/>
      </w:rPr>
    </w:lvl>
    <w:lvl w:ilvl="2" w:tentative="0">
      <w:start w:val="1"/>
      <w:numFmt w:val="decimal"/>
      <w:pStyle w:val="17"/>
      <w:suff w:val="nothing"/>
      <w:lvlText w:val="%1%2.%3　"/>
      <w:lvlJc w:val="left"/>
      <w:pPr>
        <w:ind w:left="0" w:firstLine="0"/>
      </w:pPr>
      <w:rPr>
        <w:rFonts w:hint="eastAsia" w:ascii="黑体" w:hAnsi="Times New Roman" w:eastAsia="黑体"/>
        <w:b w:val="0"/>
        <w:i w:val="0"/>
        <w:sz w:val="21"/>
      </w:rPr>
    </w:lvl>
    <w:lvl w:ilvl="3" w:tentative="0">
      <w:start w:val="1"/>
      <w:numFmt w:val="decimal"/>
      <w:pStyle w:val="16"/>
      <w:suff w:val="nothing"/>
      <w:lvlText w:val="%1%2.%3.%4　"/>
      <w:lvlJc w:val="left"/>
      <w:pPr>
        <w:ind w:left="42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E1NDBhYjc4NDdlNjIwZjM5ZTE1ZjA0NjU5NDY4MWEifQ=="/>
  </w:docVars>
  <w:rsids>
    <w:rsidRoot w:val="00EC2BC6"/>
    <w:rsid w:val="00006C59"/>
    <w:rsid w:val="00007FE3"/>
    <w:rsid w:val="00014D4A"/>
    <w:rsid w:val="00021435"/>
    <w:rsid w:val="0002395B"/>
    <w:rsid w:val="00026411"/>
    <w:rsid w:val="0003332B"/>
    <w:rsid w:val="00035828"/>
    <w:rsid w:val="00043C71"/>
    <w:rsid w:val="00044ECD"/>
    <w:rsid w:val="00053A65"/>
    <w:rsid w:val="00057197"/>
    <w:rsid w:val="00063E9E"/>
    <w:rsid w:val="00071C21"/>
    <w:rsid w:val="00080CA6"/>
    <w:rsid w:val="0008236C"/>
    <w:rsid w:val="000827A9"/>
    <w:rsid w:val="00087E8B"/>
    <w:rsid w:val="000914BC"/>
    <w:rsid w:val="00092056"/>
    <w:rsid w:val="00094132"/>
    <w:rsid w:val="0009581C"/>
    <w:rsid w:val="000969F2"/>
    <w:rsid w:val="00097AF3"/>
    <w:rsid w:val="000A25EB"/>
    <w:rsid w:val="000A5830"/>
    <w:rsid w:val="000A75F3"/>
    <w:rsid w:val="000C6FF8"/>
    <w:rsid w:val="000E0AAA"/>
    <w:rsid w:val="000E68F0"/>
    <w:rsid w:val="000F19AF"/>
    <w:rsid w:val="000F4427"/>
    <w:rsid w:val="000F5A40"/>
    <w:rsid w:val="00101BED"/>
    <w:rsid w:val="00104534"/>
    <w:rsid w:val="001078A6"/>
    <w:rsid w:val="001141E5"/>
    <w:rsid w:val="001154D0"/>
    <w:rsid w:val="00117236"/>
    <w:rsid w:val="00134C77"/>
    <w:rsid w:val="00146DB4"/>
    <w:rsid w:val="00150F96"/>
    <w:rsid w:val="00154750"/>
    <w:rsid w:val="00160370"/>
    <w:rsid w:val="001667C6"/>
    <w:rsid w:val="00167495"/>
    <w:rsid w:val="00170EF2"/>
    <w:rsid w:val="00182F0C"/>
    <w:rsid w:val="0018590B"/>
    <w:rsid w:val="00192E52"/>
    <w:rsid w:val="001C51B6"/>
    <w:rsid w:val="001C5B92"/>
    <w:rsid w:val="001D1D52"/>
    <w:rsid w:val="001D78CB"/>
    <w:rsid w:val="001E05C2"/>
    <w:rsid w:val="001E1ABF"/>
    <w:rsid w:val="001E4965"/>
    <w:rsid w:val="001E7928"/>
    <w:rsid w:val="00201CA0"/>
    <w:rsid w:val="00202959"/>
    <w:rsid w:val="00203701"/>
    <w:rsid w:val="0020436E"/>
    <w:rsid w:val="002066C3"/>
    <w:rsid w:val="00214C35"/>
    <w:rsid w:val="00215FDC"/>
    <w:rsid w:val="00222121"/>
    <w:rsid w:val="002353FE"/>
    <w:rsid w:val="002425A5"/>
    <w:rsid w:val="002459E7"/>
    <w:rsid w:val="00256331"/>
    <w:rsid w:val="00257660"/>
    <w:rsid w:val="00257FA3"/>
    <w:rsid w:val="0026176A"/>
    <w:rsid w:val="00264A2E"/>
    <w:rsid w:val="002776C9"/>
    <w:rsid w:val="0028350A"/>
    <w:rsid w:val="00284E5F"/>
    <w:rsid w:val="002B16CE"/>
    <w:rsid w:val="002B2BA4"/>
    <w:rsid w:val="002B60CA"/>
    <w:rsid w:val="002B79EA"/>
    <w:rsid w:val="002C22F3"/>
    <w:rsid w:val="002D6A0D"/>
    <w:rsid w:val="0030538B"/>
    <w:rsid w:val="00305F5B"/>
    <w:rsid w:val="00307029"/>
    <w:rsid w:val="00315C43"/>
    <w:rsid w:val="00324351"/>
    <w:rsid w:val="00332BBA"/>
    <w:rsid w:val="00355F8E"/>
    <w:rsid w:val="0036425F"/>
    <w:rsid w:val="00365C01"/>
    <w:rsid w:val="003705D4"/>
    <w:rsid w:val="00385698"/>
    <w:rsid w:val="0038662A"/>
    <w:rsid w:val="00387E46"/>
    <w:rsid w:val="00392D50"/>
    <w:rsid w:val="003A242E"/>
    <w:rsid w:val="003A2838"/>
    <w:rsid w:val="003B0B62"/>
    <w:rsid w:val="003B3B92"/>
    <w:rsid w:val="003B7869"/>
    <w:rsid w:val="003C57BC"/>
    <w:rsid w:val="003C57CC"/>
    <w:rsid w:val="003E0BAC"/>
    <w:rsid w:val="003E4BDD"/>
    <w:rsid w:val="003E55D0"/>
    <w:rsid w:val="003F3F39"/>
    <w:rsid w:val="003F4605"/>
    <w:rsid w:val="003F7909"/>
    <w:rsid w:val="00401823"/>
    <w:rsid w:val="00401888"/>
    <w:rsid w:val="004154A0"/>
    <w:rsid w:val="00415A92"/>
    <w:rsid w:val="00416D35"/>
    <w:rsid w:val="004210B8"/>
    <w:rsid w:val="00426B2F"/>
    <w:rsid w:val="00430E8F"/>
    <w:rsid w:val="004333C2"/>
    <w:rsid w:val="004433A0"/>
    <w:rsid w:val="004437DA"/>
    <w:rsid w:val="00456021"/>
    <w:rsid w:val="0045635F"/>
    <w:rsid w:val="00464A81"/>
    <w:rsid w:val="0046628C"/>
    <w:rsid w:val="00472712"/>
    <w:rsid w:val="00474785"/>
    <w:rsid w:val="00476F7D"/>
    <w:rsid w:val="004774E0"/>
    <w:rsid w:val="004809B8"/>
    <w:rsid w:val="00483789"/>
    <w:rsid w:val="00487795"/>
    <w:rsid w:val="00487A59"/>
    <w:rsid w:val="004900D1"/>
    <w:rsid w:val="00495591"/>
    <w:rsid w:val="004A184D"/>
    <w:rsid w:val="004A37FE"/>
    <w:rsid w:val="004A400F"/>
    <w:rsid w:val="004B1770"/>
    <w:rsid w:val="004C0185"/>
    <w:rsid w:val="004C46A9"/>
    <w:rsid w:val="004C7D88"/>
    <w:rsid w:val="004D429D"/>
    <w:rsid w:val="004D4E62"/>
    <w:rsid w:val="004D7EB2"/>
    <w:rsid w:val="004E0A29"/>
    <w:rsid w:val="004E36B1"/>
    <w:rsid w:val="004E7ED8"/>
    <w:rsid w:val="004F16B5"/>
    <w:rsid w:val="005048A4"/>
    <w:rsid w:val="00506911"/>
    <w:rsid w:val="005071D9"/>
    <w:rsid w:val="0051134F"/>
    <w:rsid w:val="005116C8"/>
    <w:rsid w:val="00511F25"/>
    <w:rsid w:val="005122D5"/>
    <w:rsid w:val="00514C32"/>
    <w:rsid w:val="00514EA9"/>
    <w:rsid w:val="005171F1"/>
    <w:rsid w:val="00527DFE"/>
    <w:rsid w:val="005323D2"/>
    <w:rsid w:val="005328D2"/>
    <w:rsid w:val="00535CC3"/>
    <w:rsid w:val="00543B9F"/>
    <w:rsid w:val="005474CB"/>
    <w:rsid w:val="00550324"/>
    <w:rsid w:val="00553A2A"/>
    <w:rsid w:val="0055405B"/>
    <w:rsid w:val="005712B6"/>
    <w:rsid w:val="00572796"/>
    <w:rsid w:val="005733AF"/>
    <w:rsid w:val="0057372C"/>
    <w:rsid w:val="005818FF"/>
    <w:rsid w:val="005827CE"/>
    <w:rsid w:val="00594288"/>
    <w:rsid w:val="005A0D26"/>
    <w:rsid w:val="005B4B87"/>
    <w:rsid w:val="005B6B7D"/>
    <w:rsid w:val="005B7910"/>
    <w:rsid w:val="005C76E0"/>
    <w:rsid w:val="005D0029"/>
    <w:rsid w:val="005D5067"/>
    <w:rsid w:val="005D5107"/>
    <w:rsid w:val="005D72C0"/>
    <w:rsid w:val="005E0B80"/>
    <w:rsid w:val="005E77E4"/>
    <w:rsid w:val="005F4E0B"/>
    <w:rsid w:val="005F596A"/>
    <w:rsid w:val="00600AA9"/>
    <w:rsid w:val="0060334A"/>
    <w:rsid w:val="006052BB"/>
    <w:rsid w:val="00612D63"/>
    <w:rsid w:val="0061304C"/>
    <w:rsid w:val="00614978"/>
    <w:rsid w:val="006150F3"/>
    <w:rsid w:val="00630281"/>
    <w:rsid w:val="00637082"/>
    <w:rsid w:val="0064398D"/>
    <w:rsid w:val="006563FC"/>
    <w:rsid w:val="0066005D"/>
    <w:rsid w:val="00677F25"/>
    <w:rsid w:val="00680E7E"/>
    <w:rsid w:val="006820F2"/>
    <w:rsid w:val="00682D9D"/>
    <w:rsid w:val="00682DDE"/>
    <w:rsid w:val="00695BF9"/>
    <w:rsid w:val="006A5647"/>
    <w:rsid w:val="006B1CE0"/>
    <w:rsid w:val="006B2CF5"/>
    <w:rsid w:val="006B62F6"/>
    <w:rsid w:val="006C6522"/>
    <w:rsid w:val="006D4130"/>
    <w:rsid w:val="006D7B04"/>
    <w:rsid w:val="006D7BC5"/>
    <w:rsid w:val="006E256C"/>
    <w:rsid w:val="006F4D7F"/>
    <w:rsid w:val="006F4E1C"/>
    <w:rsid w:val="006F70F2"/>
    <w:rsid w:val="00712D7F"/>
    <w:rsid w:val="00723372"/>
    <w:rsid w:val="00723F15"/>
    <w:rsid w:val="007343C5"/>
    <w:rsid w:val="00735770"/>
    <w:rsid w:val="00745C97"/>
    <w:rsid w:val="00756C79"/>
    <w:rsid w:val="00757BA9"/>
    <w:rsid w:val="0076025B"/>
    <w:rsid w:val="00766C18"/>
    <w:rsid w:val="00772051"/>
    <w:rsid w:val="00775317"/>
    <w:rsid w:val="00776963"/>
    <w:rsid w:val="007924A1"/>
    <w:rsid w:val="007A47FB"/>
    <w:rsid w:val="007A4E6E"/>
    <w:rsid w:val="007B2D39"/>
    <w:rsid w:val="007B3CB0"/>
    <w:rsid w:val="007B47F4"/>
    <w:rsid w:val="007C6523"/>
    <w:rsid w:val="007D2648"/>
    <w:rsid w:val="007F1226"/>
    <w:rsid w:val="007F7B44"/>
    <w:rsid w:val="00800508"/>
    <w:rsid w:val="00802471"/>
    <w:rsid w:val="008114CA"/>
    <w:rsid w:val="0081332A"/>
    <w:rsid w:val="00831CE9"/>
    <w:rsid w:val="00832092"/>
    <w:rsid w:val="00834781"/>
    <w:rsid w:val="008506C0"/>
    <w:rsid w:val="0085328E"/>
    <w:rsid w:val="00853E67"/>
    <w:rsid w:val="00857C05"/>
    <w:rsid w:val="00860016"/>
    <w:rsid w:val="00871443"/>
    <w:rsid w:val="008739C1"/>
    <w:rsid w:val="00873CBD"/>
    <w:rsid w:val="008925DE"/>
    <w:rsid w:val="008942DC"/>
    <w:rsid w:val="00894C1B"/>
    <w:rsid w:val="00895AE7"/>
    <w:rsid w:val="008B04BA"/>
    <w:rsid w:val="008B314F"/>
    <w:rsid w:val="008B45A0"/>
    <w:rsid w:val="008B713D"/>
    <w:rsid w:val="008C34C9"/>
    <w:rsid w:val="008D3FC1"/>
    <w:rsid w:val="008F5F21"/>
    <w:rsid w:val="00917AE5"/>
    <w:rsid w:val="00925AE4"/>
    <w:rsid w:val="009263AD"/>
    <w:rsid w:val="0095117E"/>
    <w:rsid w:val="009538AD"/>
    <w:rsid w:val="00957885"/>
    <w:rsid w:val="00957B41"/>
    <w:rsid w:val="00980485"/>
    <w:rsid w:val="00983BF1"/>
    <w:rsid w:val="00990DB3"/>
    <w:rsid w:val="009A7A7F"/>
    <w:rsid w:val="009B1482"/>
    <w:rsid w:val="009B318B"/>
    <w:rsid w:val="009B3336"/>
    <w:rsid w:val="009C17B0"/>
    <w:rsid w:val="009C2853"/>
    <w:rsid w:val="009D3991"/>
    <w:rsid w:val="009D5C13"/>
    <w:rsid w:val="009E2D3E"/>
    <w:rsid w:val="009E648C"/>
    <w:rsid w:val="00A0660E"/>
    <w:rsid w:val="00A07CF6"/>
    <w:rsid w:val="00A100BD"/>
    <w:rsid w:val="00A10276"/>
    <w:rsid w:val="00A22C1C"/>
    <w:rsid w:val="00A24F9B"/>
    <w:rsid w:val="00A25DB3"/>
    <w:rsid w:val="00A323BA"/>
    <w:rsid w:val="00A332E9"/>
    <w:rsid w:val="00A34DB9"/>
    <w:rsid w:val="00A34E95"/>
    <w:rsid w:val="00A3728C"/>
    <w:rsid w:val="00A4421C"/>
    <w:rsid w:val="00A5293B"/>
    <w:rsid w:val="00A56606"/>
    <w:rsid w:val="00A57183"/>
    <w:rsid w:val="00A61BBA"/>
    <w:rsid w:val="00A634C3"/>
    <w:rsid w:val="00A65EA4"/>
    <w:rsid w:val="00A70544"/>
    <w:rsid w:val="00A73EA5"/>
    <w:rsid w:val="00A756C4"/>
    <w:rsid w:val="00A75CB6"/>
    <w:rsid w:val="00A77997"/>
    <w:rsid w:val="00A83BD8"/>
    <w:rsid w:val="00A84C93"/>
    <w:rsid w:val="00A84E00"/>
    <w:rsid w:val="00A8511B"/>
    <w:rsid w:val="00A91996"/>
    <w:rsid w:val="00A97E3A"/>
    <w:rsid w:val="00AA2841"/>
    <w:rsid w:val="00AA499B"/>
    <w:rsid w:val="00AB4025"/>
    <w:rsid w:val="00AC2F2D"/>
    <w:rsid w:val="00AC37E8"/>
    <w:rsid w:val="00AD139E"/>
    <w:rsid w:val="00AD2E99"/>
    <w:rsid w:val="00AE41DC"/>
    <w:rsid w:val="00AE47B7"/>
    <w:rsid w:val="00AE5C0A"/>
    <w:rsid w:val="00AE79D8"/>
    <w:rsid w:val="00AF1676"/>
    <w:rsid w:val="00AF2775"/>
    <w:rsid w:val="00B136A5"/>
    <w:rsid w:val="00B229A4"/>
    <w:rsid w:val="00B231FF"/>
    <w:rsid w:val="00B37694"/>
    <w:rsid w:val="00B40E32"/>
    <w:rsid w:val="00B41AB5"/>
    <w:rsid w:val="00B44DA6"/>
    <w:rsid w:val="00B454EB"/>
    <w:rsid w:val="00B6173A"/>
    <w:rsid w:val="00B63BCB"/>
    <w:rsid w:val="00B650F2"/>
    <w:rsid w:val="00B721FE"/>
    <w:rsid w:val="00B763E6"/>
    <w:rsid w:val="00B80F40"/>
    <w:rsid w:val="00B81A96"/>
    <w:rsid w:val="00BA1436"/>
    <w:rsid w:val="00BA5C09"/>
    <w:rsid w:val="00BB0577"/>
    <w:rsid w:val="00BB1940"/>
    <w:rsid w:val="00BB1AB8"/>
    <w:rsid w:val="00BB53CD"/>
    <w:rsid w:val="00BB7554"/>
    <w:rsid w:val="00BC290D"/>
    <w:rsid w:val="00BD053A"/>
    <w:rsid w:val="00BD37A0"/>
    <w:rsid w:val="00BD59F2"/>
    <w:rsid w:val="00BF06BA"/>
    <w:rsid w:val="00BF208D"/>
    <w:rsid w:val="00BF2C26"/>
    <w:rsid w:val="00BF6F16"/>
    <w:rsid w:val="00C01856"/>
    <w:rsid w:val="00C07C86"/>
    <w:rsid w:val="00C13631"/>
    <w:rsid w:val="00C20C74"/>
    <w:rsid w:val="00C26AB1"/>
    <w:rsid w:val="00C30969"/>
    <w:rsid w:val="00C41D75"/>
    <w:rsid w:val="00C45193"/>
    <w:rsid w:val="00C46C40"/>
    <w:rsid w:val="00C57272"/>
    <w:rsid w:val="00C60106"/>
    <w:rsid w:val="00C61B97"/>
    <w:rsid w:val="00C651AF"/>
    <w:rsid w:val="00C80048"/>
    <w:rsid w:val="00C8044E"/>
    <w:rsid w:val="00C8417C"/>
    <w:rsid w:val="00C91715"/>
    <w:rsid w:val="00C96C34"/>
    <w:rsid w:val="00C97032"/>
    <w:rsid w:val="00CA0235"/>
    <w:rsid w:val="00CA64F3"/>
    <w:rsid w:val="00CB1AE8"/>
    <w:rsid w:val="00CB306B"/>
    <w:rsid w:val="00CD7A43"/>
    <w:rsid w:val="00CD7DF5"/>
    <w:rsid w:val="00CE2CB4"/>
    <w:rsid w:val="00CE4AD4"/>
    <w:rsid w:val="00CF508D"/>
    <w:rsid w:val="00CF570D"/>
    <w:rsid w:val="00D03BBE"/>
    <w:rsid w:val="00D10681"/>
    <w:rsid w:val="00D13EDF"/>
    <w:rsid w:val="00D13FD0"/>
    <w:rsid w:val="00D2784F"/>
    <w:rsid w:val="00D327AB"/>
    <w:rsid w:val="00D33C0C"/>
    <w:rsid w:val="00D35ED0"/>
    <w:rsid w:val="00D440BA"/>
    <w:rsid w:val="00D54D1C"/>
    <w:rsid w:val="00D56234"/>
    <w:rsid w:val="00D612E4"/>
    <w:rsid w:val="00D71F70"/>
    <w:rsid w:val="00D72F44"/>
    <w:rsid w:val="00D819AB"/>
    <w:rsid w:val="00D82A23"/>
    <w:rsid w:val="00D840F3"/>
    <w:rsid w:val="00D900C8"/>
    <w:rsid w:val="00D90AEB"/>
    <w:rsid w:val="00D92363"/>
    <w:rsid w:val="00D95431"/>
    <w:rsid w:val="00D97646"/>
    <w:rsid w:val="00DA1951"/>
    <w:rsid w:val="00DA67E7"/>
    <w:rsid w:val="00DB409F"/>
    <w:rsid w:val="00DC412E"/>
    <w:rsid w:val="00E072C5"/>
    <w:rsid w:val="00E07649"/>
    <w:rsid w:val="00E170B6"/>
    <w:rsid w:val="00E2720C"/>
    <w:rsid w:val="00E30E96"/>
    <w:rsid w:val="00E31874"/>
    <w:rsid w:val="00E3239F"/>
    <w:rsid w:val="00E32B30"/>
    <w:rsid w:val="00E54935"/>
    <w:rsid w:val="00E576AF"/>
    <w:rsid w:val="00E660C7"/>
    <w:rsid w:val="00E7461C"/>
    <w:rsid w:val="00E774C6"/>
    <w:rsid w:val="00E858F2"/>
    <w:rsid w:val="00E91EB1"/>
    <w:rsid w:val="00E91FB8"/>
    <w:rsid w:val="00E94E8D"/>
    <w:rsid w:val="00EA7704"/>
    <w:rsid w:val="00EB2F49"/>
    <w:rsid w:val="00EB472B"/>
    <w:rsid w:val="00EC0ADD"/>
    <w:rsid w:val="00EC202B"/>
    <w:rsid w:val="00EC2BC6"/>
    <w:rsid w:val="00ED1D29"/>
    <w:rsid w:val="00ED7092"/>
    <w:rsid w:val="00ED78A3"/>
    <w:rsid w:val="00EE3500"/>
    <w:rsid w:val="00F02651"/>
    <w:rsid w:val="00F02E65"/>
    <w:rsid w:val="00F225C1"/>
    <w:rsid w:val="00F22891"/>
    <w:rsid w:val="00F375F3"/>
    <w:rsid w:val="00F4285C"/>
    <w:rsid w:val="00F66C63"/>
    <w:rsid w:val="00F75DE8"/>
    <w:rsid w:val="00F834D2"/>
    <w:rsid w:val="00F837F5"/>
    <w:rsid w:val="00F926F9"/>
    <w:rsid w:val="00FA0FD5"/>
    <w:rsid w:val="00FA5C1B"/>
    <w:rsid w:val="00FB0BF1"/>
    <w:rsid w:val="00FB2105"/>
    <w:rsid w:val="00FB360B"/>
    <w:rsid w:val="00FB7D05"/>
    <w:rsid w:val="00FD54A1"/>
    <w:rsid w:val="00FD74E3"/>
    <w:rsid w:val="00FD7CB4"/>
    <w:rsid w:val="00FE5A64"/>
    <w:rsid w:val="00FE7C38"/>
    <w:rsid w:val="00FF2EB8"/>
    <w:rsid w:val="00FF6E2D"/>
    <w:rsid w:val="00FF7795"/>
    <w:rsid w:val="019563CB"/>
    <w:rsid w:val="026A7251"/>
    <w:rsid w:val="0362242E"/>
    <w:rsid w:val="04F4550B"/>
    <w:rsid w:val="0CDE4017"/>
    <w:rsid w:val="0D502235"/>
    <w:rsid w:val="0EE41B4B"/>
    <w:rsid w:val="0FE35E7C"/>
    <w:rsid w:val="19C64063"/>
    <w:rsid w:val="1A8170B6"/>
    <w:rsid w:val="1DB63742"/>
    <w:rsid w:val="1F3C6CA7"/>
    <w:rsid w:val="2913175E"/>
    <w:rsid w:val="2CA75454"/>
    <w:rsid w:val="2CDA5E3E"/>
    <w:rsid w:val="2E8A3207"/>
    <w:rsid w:val="31322048"/>
    <w:rsid w:val="31CE42C2"/>
    <w:rsid w:val="38BF7F9A"/>
    <w:rsid w:val="39B77ED9"/>
    <w:rsid w:val="39FC79F9"/>
    <w:rsid w:val="3DF8417F"/>
    <w:rsid w:val="3E7A4856"/>
    <w:rsid w:val="3FF95870"/>
    <w:rsid w:val="423C1028"/>
    <w:rsid w:val="44A36DEB"/>
    <w:rsid w:val="44AB6585"/>
    <w:rsid w:val="489163FD"/>
    <w:rsid w:val="4F593EA4"/>
    <w:rsid w:val="538164C3"/>
    <w:rsid w:val="53A01781"/>
    <w:rsid w:val="53C34A33"/>
    <w:rsid w:val="5425053B"/>
    <w:rsid w:val="57A0330F"/>
    <w:rsid w:val="586F6FA9"/>
    <w:rsid w:val="598F133D"/>
    <w:rsid w:val="5C092308"/>
    <w:rsid w:val="5D590002"/>
    <w:rsid w:val="5DFB22CD"/>
    <w:rsid w:val="63C52E5B"/>
    <w:rsid w:val="64783E5B"/>
    <w:rsid w:val="64DA2067"/>
    <w:rsid w:val="66514C01"/>
    <w:rsid w:val="66E6157E"/>
    <w:rsid w:val="6C7F6497"/>
    <w:rsid w:val="715D404D"/>
    <w:rsid w:val="71BD5663"/>
    <w:rsid w:val="7656620F"/>
    <w:rsid w:val="7686132B"/>
    <w:rsid w:val="76985195"/>
    <w:rsid w:val="7729457C"/>
    <w:rsid w:val="79974284"/>
    <w:rsid w:val="7A2A6ADE"/>
    <w:rsid w:val="7B5823C6"/>
    <w:rsid w:val="7C7831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semiHidden/>
    <w:unhideWhenUsed/>
    <w:qFormat/>
    <w:uiPriority w:val="9"/>
    <w:pPr>
      <w:spacing w:beforeAutospacing="1" w:afterAutospacing="1"/>
      <w:jc w:val="left"/>
      <w:outlineLvl w:val="3"/>
    </w:pPr>
    <w:rPr>
      <w:rFonts w:hint="eastAsia" w:ascii="宋体" w:hAnsi="宋体"/>
      <w:b/>
      <w:bCs/>
      <w:kern w:val="0"/>
      <w:sz w:val="24"/>
      <w:szCs w:val="24"/>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9"/>
    <w:unhideWhenUsed/>
    <w:qFormat/>
    <w:uiPriority w:val="99"/>
    <w:pPr>
      <w:jc w:val="left"/>
    </w:pPr>
  </w:style>
  <w:style w:type="paragraph" w:styleId="4">
    <w:name w:val="Body Text"/>
    <w:basedOn w:val="1"/>
    <w:semiHidden/>
    <w:qFormat/>
    <w:uiPriority w:val="0"/>
    <w:rPr>
      <w:rFonts w:ascii="宋体" w:hAnsi="宋体" w:cs="宋体"/>
      <w:sz w:val="36"/>
      <w:szCs w:val="36"/>
      <w:lang w:eastAsia="en-US"/>
    </w:rPr>
  </w:style>
  <w:style w:type="paragraph" w:styleId="5">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2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8">
    <w:name w:val="annotation subject"/>
    <w:basedOn w:val="3"/>
    <w:next w:val="3"/>
    <w:link w:val="30"/>
    <w:semiHidden/>
    <w:unhideWhenUsed/>
    <w:qFormat/>
    <w:uiPriority w:val="99"/>
    <w:rPr>
      <w:b/>
      <w:bCs/>
    </w:rPr>
  </w:style>
  <w:style w:type="character" w:styleId="11">
    <w:name w:val="Hyperlink"/>
    <w:basedOn w:val="10"/>
    <w:unhideWhenUsed/>
    <w:qFormat/>
    <w:uiPriority w:val="99"/>
    <w:rPr>
      <w:color w:val="0000FF" w:themeColor="hyperlink"/>
      <w:u w:val="single"/>
      <w14:textFill>
        <w14:solidFill>
          <w14:schemeClr w14:val="hlink"/>
        </w14:solidFill>
      </w14:textFill>
    </w:rPr>
  </w:style>
  <w:style w:type="character" w:styleId="12">
    <w:name w:val="annotation reference"/>
    <w:basedOn w:val="10"/>
    <w:semiHidden/>
    <w:unhideWhenUsed/>
    <w:qFormat/>
    <w:uiPriority w:val="99"/>
    <w:rPr>
      <w:sz w:val="21"/>
      <w:szCs w:val="21"/>
    </w:rPr>
  </w:style>
  <w:style w:type="paragraph" w:customStyle="1" w:styleId="13">
    <w:name w:val="样式1"/>
    <w:basedOn w:val="1"/>
    <w:qFormat/>
    <w:uiPriority w:val="0"/>
    <w:rPr>
      <w:rFonts w:ascii="等线" w:hAnsi="等线" w:eastAsia="等线" w:cs="宋体"/>
      <w:sz w:val="24"/>
    </w:rPr>
  </w:style>
  <w:style w:type="character" w:customStyle="1" w:styleId="14">
    <w:name w:val="页脚 字符"/>
    <w:basedOn w:val="10"/>
    <w:link w:val="5"/>
    <w:semiHidden/>
    <w:qFormat/>
    <w:uiPriority w:val="99"/>
    <w:rPr>
      <w:sz w:val="18"/>
      <w:szCs w:val="18"/>
    </w:rPr>
  </w:style>
  <w:style w:type="paragraph" w:customStyle="1" w:styleId="15">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6">
    <w:name w:val="二级条标题"/>
    <w:basedOn w:val="17"/>
    <w:next w:val="19"/>
    <w:qFormat/>
    <w:uiPriority w:val="0"/>
    <w:pPr>
      <w:numPr>
        <w:ilvl w:val="3"/>
      </w:numPr>
      <w:outlineLvl w:val="3"/>
    </w:pPr>
  </w:style>
  <w:style w:type="paragraph" w:customStyle="1" w:styleId="17">
    <w:name w:val="一级条标题"/>
    <w:basedOn w:val="18"/>
    <w:next w:val="19"/>
    <w:qFormat/>
    <w:uiPriority w:val="0"/>
    <w:pPr>
      <w:numPr>
        <w:ilvl w:val="2"/>
        <w:numId w:val="1"/>
      </w:numPr>
      <w:spacing w:beforeLines="0" w:afterLines="0"/>
      <w:outlineLvl w:val="2"/>
    </w:pPr>
  </w:style>
  <w:style w:type="paragraph" w:customStyle="1" w:styleId="18">
    <w:name w:val="章标题"/>
    <w:next w:val="1"/>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19">
    <w:name w:val="段"/>
    <w:link w:val="2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0">
    <w:name w:val="段 Char"/>
    <w:link w:val="19"/>
    <w:qFormat/>
    <w:uiPriority w:val="0"/>
    <w:rPr>
      <w:rFonts w:ascii="宋体" w:hAnsi="Times New Roman" w:eastAsia="宋体" w:cs="Times New Roman"/>
      <w:sz w:val="21"/>
    </w:rPr>
  </w:style>
  <w:style w:type="paragraph" w:customStyle="1" w:styleId="21">
    <w:name w:val="目次、标准名称标题"/>
    <w:basedOn w:val="1"/>
    <w:next w:val="1"/>
    <w:qFormat/>
    <w:uiPriority w:val="99"/>
    <w:pPr>
      <w:keepNext/>
      <w:pageBreakBefore/>
      <w:widowControl/>
      <w:shd w:val="clear" w:color="FFFFFF" w:fill="FFFFFF"/>
      <w:spacing w:before="640" w:after="560" w:line="460" w:lineRule="exact"/>
      <w:jc w:val="center"/>
      <w:outlineLvl w:val="0"/>
    </w:pPr>
    <w:rPr>
      <w:rFonts w:ascii="黑体" w:hAnsi="Times New Roman" w:eastAsia="黑体"/>
      <w:kern w:val="0"/>
      <w:sz w:val="32"/>
      <w:szCs w:val="20"/>
    </w:rPr>
  </w:style>
  <w:style w:type="character" w:customStyle="1" w:styleId="22">
    <w:name w:val="页眉 字符"/>
    <w:basedOn w:val="10"/>
    <w:link w:val="6"/>
    <w:qFormat/>
    <w:uiPriority w:val="99"/>
    <w:rPr>
      <w:sz w:val="18"/>
      <w:szCs w:val="18"/>
    </w:rPr>
  </w:style>
  <w:style w:type="paragraph" w:styleId="23">
    <w:name w:val="List Paragraph"/>
    <w:unhideWhenUsed/>
    <w:qFormat/>
    <w:uiPriority w:val="99"/>
    <w:pPr>
      <w:widowControl w:val="0"/>
      <w:ind w:firstLine="420" w:firstLineChars="200"/>
      <w:jc w:val="both"/>
    </w:pPr>
    <w:rPr>
      <w:rFonts w:ascii="Calibri" w:hAnsi="Calibri" w:eastAsia="宋体" w:cs="Times New Roman"/>
      <w:kern w:val="2"/>
      <w:sz w:val="21"/>
      <w:szCs w:val="22"/>
      <w:lang w:val="en-US" w:eastAsia="zh-CN" w:bidi="ar-SA"/>
    </w:rPr>
  </w:style>
  <w:style w:type="paragraph" w:customStyle="1" w:styleId="24">
    <w:name w:val="前言、引言标题"/>
    <w:next w:val="1"/>
    <w:qFormat/>
    <w:uiPriority w:val="99"/>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
    <w:name w:val="修订1"/>
    <w:hidden/>
    <w:unhideWhenUsed/>
    <w:qFormat/>
    <w:uiPriority w:val="99"/>
    <w:rPr>
      <w:rFonts w:ascii="Calibri" w:hAnsi="Calibri" w:eastAsia="宋体" w:cs="Times New Roman"/>
      <w:kern w:val="2"/>
      <w:sz w:val="21"/>
      <w:szCs w:val="22"/>
      <w:lang w:val="en-US" w:eastAsia="zh-CN" w:bidi="ar-SA"/>
    </w:rPr>
  </w:style>
  <w:style w:type="paragraph" w:customStyle="1" w:styleId="26">
    <w:name w:val="修订2"/>
    <w:hidden/>
    <w:unhideWhenUsed/>
    <w:qFormat/>
    <w:uiPriority w:val="99"/>
    <w:rPr>
      <w:rFonts w:ascii="Calibri" w:hAnsi="Calibri" w:eastAsia="宋体" w:cs="Times New Roman"/>
      <w:kern w:val="2"/>
      <w:sz w:val="21"/>
      <w:szCs w:val="22"/>
      <w:lang w:val="en-US" w:eastAsia="zh-CN" w:bidi="ar-SA"/>
    </w:rPr>
  </w:style>
  <w:style w:type="paragraph" w:customStyle="1" w:styleId="27">
    <w:name w:val="修订3"/>
    <w:hidden/>
    <w:unhideWhenUsed/>
    <w:qFormat/>
    <w:uiPriority w:val="99"/>
    <w:rPr>
      <w:rFonts w:ascii="Calibri" w:hAnsi="Calibri" w:eastAsia="宋体" w:cs="Times New Roman"/>
      <w:kern w:val="2"/>
      <w:sz w:val="21"/>
      <w:szCs w:val="22"/>
      <w:lang w:val="en-US" w:eastAsia="zh-CN" w:bidi="ar-SA"/>
    </w:rPr>
  </w:style>
  <w:style w:type="paragraph" w:customStyle="1" w:styleId="28">
    <w:name w:val="修订4"/>
    <w:hidden/>
    <w:unhideWhenUsed/>
    <w:qFormat/>
    <w:uiPriority w:val="99"/>
    <w:rPr>
      <w:rFonts w:ascii="Calibri" w:hAnsi="Calibri" w:eastAsia="宋体" w:cs="Times New Roman"/>
      <w:kern w:val="2"/>
      <w:sz w:val="21"/>
      <w:szCs w:val="22"/>
      <w:lang w:val="en-US" w:eastAsia="zh-CN" w:bidi="ar-SA"/>
    </w:rPr>
  </w:style>
  <w:style w:type="character" w:customStyle="1" w:styleId="29">
    <w:name w:val="批注文字 字符"/>
    <w:basedOn w:val="10"/>
    <w:link w:val="3"/>
    <w:qFormat/>
    <w:uiPriority w:val="99"/>
    <w:rPr>
      <w:rFonts w:ascii="Calibri" w:hAnsi="Calibri"/>
      <w:kern w:val="2"/>
      <w:sz w:val="21"/>
      <w:szCs w:val="22"/>
    </w:rPr>
  </w:style>
  <w:style w:type="character" w:customStyle="1" w:styleId="30">
    <w:name w:val="批注主题 字符"/>
    <w:basedOn w:val="29"/>
    <w:link w:val="8"/>
    <w:semiHidden/>
    <w:qFormat/>
    <w:uiPriority w:val="99"/>
    <w:rPr>
      <w:rFonts w:ascii="Calibri" w:hAnsi="Calibri"/>
      <w:b/>
      <w:bCs/>
      <w:kern w:val="2"/>
      <w:sz w:val="21"/>
      <w:szCs w:val="22"/>
    </w:rPr>
  </w:style>
  <w:style w:type="paragraph" w:customStyle="1" w:styleId="31">
    <w:name w:val="修订5"/>
    <w:hidden/>
    <w:unhideWhenUsed/>
    <w:qFormat/>
    <w:uiPriority w:val="99"/>
    <w:rPr>
      <w:rFonts w:ascii="Calibri" w:hAnsi="Calibri" w:eastAsia="宋体" w:cs="Times New Roman"/>
      <w:kern w:val="2"/>
      <w:sz w:val="21"/>
      <w:szCs w:val="22"/>
      <w:lang w:val="en-US" w:eastAsia="zh-CN" w:bidi="ar-SA"/>
    </w:rPr>
  </w:style>
  <w:style w:type="character" w:customStyle="1" w:styleId="32">
    <w:name w:val="未处理的提及1"/>
    <w:basedOn w:val="10"/>
    <w:semiHidden/>
    <w:unhideWhenUsed/>
    <w:qFormat/>
    <w:uiPriority w:val="99"/>
    <w:rPr>
      <w:color w:val="605E5C"/>
      <w:shd w:val="clear" w:color="auto" w:fill="E1DFDD"/>
    </w:rPr>
  </w:style>
  <w:style w:type="paragraph" w:customStyle="1" w:styleId="33">
    <w:name w:val="Revision"/>
    <w:hidden/>
    <w:unhideWhenUsed/>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5561</Words>
  <Characters>5958</Characters>
  <Lines>44</Lines>
  <Paragraphs>12</Paragraphs>
  <TotalTime>67</TotalTime>
  <ScaleCrop>false</ScaleCrop>
  <LinksUpToDate>false</LinksUpToDate>
  <CharactersWithSpaces>6087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2025-02-07T06:49:00Z</dcterms:created>
  <dc:creator>luomouren</dc:creator>
  <cp:lastModifiedBy>sweet trouble</cp:lastModifiedBy>
  <cp:lastPrinted>2024-12-11T09:25:00Z</cp:lastPrinted>
  <dcterms:modified xsi:type="dcterms:W3CDTF">2025-02-10T08:12:26Z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DADB1C9847D44EB7AC30B92457B447F7_13</vt:lpwstr>
  </property>
  <property fmtid="{D5CDD505-2E9C-101B-9397-08002B2CF9AE}" pid="4" name="KSOTemplateDocerSaveRecord">
    <vt:lpwstr>eyJoZGlkIjoiMGE1NDBhYjc4NDdlNjIwZjM5ZTE1ZjA0NjU5NDY4MWEiLCJ1c2VySWQiOiI0MjI5NzUyNjEifQ==</vt:lpwstr>
  </property>
</Properties>
</file>