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4"/>
        <w:rPr>
          <w:rFonts w:hint="eastAsia" w:ascii="黑体" w:hAnsi="黑体" w:eastAsia="黑体" w:cs="黑体"/>
        </w:rPr>
      </w:pPr>
      <w:r>
        <w:rPr>
          <w:rFonts w:hint="eastAsia" w:ascii="黑体" w:hAnsi="黑体" w:eastAsia="黑体" w:cs="黑体"/>
        </w:rPr>
        <w:t>附件1企业自查报告摸</w:t>
      </w:r>
      <w:r>
        <w:rPr>
          <w:rFonts w:hint="eastAsia" w:ascii="黑体" w:hAnsi="黑体" w:eastAsia="黑体" w:cs="黑体"/>
          <w:spacing w:val="-10"/>
        </w:rPr>
        <w:t>板</w:t>
      </w:r>
    </w:p>
    <w:p>
      <w:pPr>
        <w:pStyle w:val="2"/>
        <w:spacing w:before="212"/>
        <w:ind w:left="3552"/>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w w:val="95"/>
          <w:sz w:val="40"/>
          <w:szCs w:val="40"/>
        </w:rPr>
        <w:t>烧碱行业节能监</w:t>
      </w:r>
      <w:r>
        <w:rPr>
          <w:rFonts w:hint="eastAsia" w:ascii="方正小标宋简体" w:hAnsi="方正小标宋简体" w:eastAsia="方正小标宋简体" w:cs="方正小标宋简体"/>
          <w:spacing w:val="-10"/>
          <w:w w:val="95"/>
          <w:sz w:val="40"/>
          <w:szCs w:val="40"/>
        </w:rPr>
        <w:t>察</w:t>
      </w:r>
    </w:p>
    <w:p>
      <w:pPr>
        <w:pStyle w:val="2"/>
        <w:spacing w:before="214"/>
        <w:ind w:left="3552"/>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w w:val="95"/>
          <w:sz w:val="40"/>
          <w:szCs w:val="40"/>
        </w:rPr>
        <w:t>××企业自查</w:t>
      </w:r>
      <w:r>
        <w:rPr>
          <w:rFonts w:hint="eastAsia" w:ascii="方正小标宋简体" w:hAnsi="方正小标宋简体" w:eastAsia="方正小标宋简体" w:cs="方正小标宋简体"/>
          <w:spacing w:val="-5"/>
          <w:w w:val="95"/>
          <w:sz w:val="40"/>
          <w:szCs w:val="40"/>
        </w:rPr>
        <w:t>报告</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黑体" w:hAnsi="黑体" w:eastAsia="黑体" w:cs="黑体"/>
          <w:sz w:val="32"/>
          <w:szCs w:val="32"/>
        </w:rPr>
      </w:pPr>
      <w:r>
        <w:rPr>
          <w:rFonts w:hint="eastAsia" w:ascii="黑体" w:hAnsi="黑体" w:eastAsia="黑体" w:cs="黑体"/>
          <w:color w:val="333333"/>
          <w:w w:val="95"/>
          <w:sz w:val="32"/>
          <w:szCs w:val="32"/>
        </w:rPr>
        <w:t>1、企业概</w:t>
      </w:r>
      <w:r>
        <w:rPr>
          <w:rFonts w:hint="eastAsia" w:ascii="黑体" w:hAnsi="黑体" w:eastAsia="黑体" w:cs="黑体"/>
          <w:color w:val="333333"/>
          <w:spacing w:val="-10"/>
          <w:w w:val="95"/>
          <w:sz w:val="32"/>
          <w:szCs w:val="32"/>
        </w:rPr>
        <w:t>况</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24" w:firstLineChars="200"/>
        <w:jc w:val="both"/>
        <w:textAlignment w:val="auto"/>
        <w:rPr>
          <w:rFonts w:hint="eastAsia" w:ascii="仿宋" w:hAnsi="仿宋" w:eastAsia="仿宋" w:cs="仿宋"/>
          <w:sz w:val="32"/>
          <w:szCs w:val="32"/>
        </w:rPr>
      </w:pPr>
      <w:r>
        <w:rPr>
          <w:rFonts w:hint="eastAsia" w:ascii="仿宋" w:hAnsi="仿宋" w:eastAsia="仿宋" w:cs="仿宋"/>
          <w:color w:val="333333"/>
          <w:spacing w:val="-2"/>
          <w:w w:val="99"/>
          <w:sz w:val="32"/>
          <w:szCs w:val="32"/>
        </w:rPr>
        <w:t>企业统计核查年度生产规模、主要工序和装备、产品产</w:t>
      </w:r>
      <w:r>
        <w:rPr>
          <w:rFonts w:hint="eastAsia" w:ascii="仿宋" w:hAnsi="仿宋" w:eastAsia="仿宋" w:cs="仿宋"/>
          <w:color w:val="333333"/>
          <w:spacing w:val="2"/>
          <w:w w:val="99"/>
          <w:sz w:val="32"/>
          <w:szCs w:val="32"/>
        </w:rPr>
        <w:t>量、综合能源消费量、能源消耗种类及数量</w:t>
      </w:r>
      <w:r>
        <w:rPr>
          <w:rFonts w:hint="eastAsia" w:ascii="仿宋" w:hAnsi="仿宋" w:eastAsia="仿宋" w:cs="仿宋"/>
          <w:color w:val="333333"/>
          <w:spacing w:val="5"/>
          <w:w w:val="99"/>
          <w:sz w:val="32"/>
          <w:szCs w:val="32"/>
        </w:rPr>
        <w:t>（</w:t>
      </w:r>
      <w:r>
        <w:rPr>
          <w:rFonts w:hint="eastAsia" w:ascii="仿宋" w:hAnsi="仿宋" w:eastAsia="仿宋" w:cs="仿宋"/>
          <w:color w:val="333333"/>
          <w:spacing w:val="2"/>
          <w:w w:val="99"/>
          <w:sz w:val="32"/>
          <w:szCs w:val="32"/>
        </w:rPr>
        <w:t>填报表</w:t>
      </w:r>
      <w:r>
        <w:rPr>
          <w:rFonts w:hint="eastAsia" w:ascii="仿宋" w:hAnsi="仿宋" w:eastAsia="仿宋" w:cs="仿宋"/>
          <w:color w:val="333333"/>
          <w:spacing w:val="1"/>
          <w:w w:val="99"/>
          <w:sz w:val="32"/>
          <w:szCs w:val="32"/>
        </w:rPr>
        <w:t>1-</w:t>
      </w:r>
      <w:r>
        <w:rPr>
          <w:rFonts w:hint="eastAsia" w:ascii="仿宋" w:hAnsi="仿宋" w:eastAsia="仿宋" w:cs="仿宋"/>
          <w:color w:val="333333"/>
          <w:spacing w:val="3"/>
          <w:w w:val="99"/>
          <w:sz w:val="32"/>
          <w:szCs w:val="32"/>
        </w:rPr>
        <w:t>1</w:t>
      </w:r>
      <w:r>
        <w:rPr>
          <w:rFonts w:hint="eastAsia" w:ascii="仿宋" w:hAnsi="仿宋" w:eastAsia="仿宋" w:cs="仿宋"/>
          <w:color w:val="333333"/>
          <w:w w:val="99"/>
          <w:sz w:val="32"/>
          <w:szCs w:val="32"/>
        </w:rPr>
        <w:t>、</w:t>
      </w:r>
      <w:r>
        <w:rPr>
          <w:rFonts w:hint="eastAsia" w:ascii="仿宋" w:hAnsi="仿宋" w:eastAsia="仿宋" w:cs="仿宋"/>
          <w:color w:val="333333"/>
          <w:spacing w:val="1"/>
          <w:w w:val="99"/>
          <w:sz w:val="32"/>
          <w:szCs w:val="32"/>
        </w:rPr>
        <w:t>1-</w:t>
      </w:r>
      <w:r>
        <w:rPr>
          <w:rFonts w:hint="eastAsia" w:ascii="仿宋" w:hAnsi="仿宋" w:eastAsia="仿宋" w:cs="仿宋"/>
          <w:color w:val="333333"/>
          <w:spacing w:val="-2"/>
          <w:w w:val="99"/>
          <w:sz w:val="32"/>
          <w:szCs w:val="32"/>
        </w:rPr>
        <w:t>2</w:t>
      </w:r>
      <w:r>
        <w:rPr>
          <w:rFonts w:hint="eastAsia" w:ascii="仿宋" w:hAnsi="仿宋" w:eastAsia="仿宋" w:cs="仿宋"/>
          <w:color w:val="333333"/>
          <w:w w:val="99"/>
          <w:sz w:val="32"/>
          <w:szCs w:val="32"/>
        </w:rPr>
        <w:t>、</w:t>
      </w:r>
      <w:r>
        <w:rPr>
          <w:rFonts w:hint="eastAsia" w:ascii="仿宋" w:hAnsi="仿宋" w:eastAsia="仿宋" w:cs="仿宋"/>
          <w:color w:val="333333"/>
          <w:spacing w:val="1"/>
          <w:w w:val="99"/>
          <w:sz w:val="32"/>
          <w:szCs w:val="32"/>
        </w:rPr>
        <w:t>1-</w:t>
      </w:r>
      <w:r>
        <w:rPr>
          <w:rFonts w:hint="eastAsia" w:ascii="仿宋" w:hAnsi="仿宋" w:eastAsia="仿宋" w:cs="仿宋"/>
          <w:color w:val="333333"/>
          <w:w w:val="99"/>
          <w:sz w:val="32"/>
          <w:szCs w:val="32"/>
        </w:rPr>
        <w:t>3</w:t>
      </w:r>
      <w:r>
        <w:rPr>
          <w:rFonts w:hint="eastAsia" w:ascii="仿宋" w:hAnsi="仿宋" w:eastAsia="仿宋" w:cs="仿宋"/>
          <w:color w:val="333333"/>
          <w:spacing w:val="1"/>
          <w:w w:val="99"/>
          <w:sz w:val="32"/>
          <w:szCs w:val="32"/>
        </w:rPr>
        <w:t>内容</w:t>
      </w:r>
      <w:r>
        <w:rPr>
          <w:rFonts w:hint="eastAsia" w:ascii="仿宋" w:hAnsi="仿宋" w:eastAsia="仿宋" w:cs="仿宋"/>
          <w:color w:val="333333"/>
          <w:w w:val="99"/>
          <w:sz w:val="32"/>
          <w:szCs w:val="32"/>
        </w:rPr>
        <w:t>）。</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黑体" w:hAnsi="黑体" w:eastAsia="黑体" w:cs="黑体"/>
          <w:color w:val="333333"/>
          <w:w w:val="95"/>
          <w:sz w:val="32"/>
          <w:szCs w:val="32"/>
        </w:rPr>
      </w:pPr>
      <w:r>
        <w:rPr>
          <w:rFonts w:hint="eastAsia" w:ascii="黑体" w:hAnsi="黑体" w:eastAsia="黑体" w:cs="黑体"/>
          <w:color w:val="333333"/>
          <w:w w:val="95"/>
          <w:sz w:val="32"/>
          <w:szCs w:val="32"/>
        </w:rPr>
        <w:t>2、能源计量器具配备及管理情况</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32" w:firstLineChars="200"/>
        <w:jc w:val="both"/>
        <w:textAlignment w:val="auto"/>
        <w:rPr>
          <w:rFonts w:hint="eastAsia" w:ascii="仿宋" w:hAnsi="仿宋" w:eastAsia="仿宋" w:cs="仿宋"/>
          <w:sz w:val="32"/>
          <w:szCs w:val="32"/>
        </w:rPr>
      </w:pPr>
      <w:r>
        <w:rPr>
          <w:rFonts w:hint="eastAsia" w:ascii="仿宋" w:hAnsi="仿宋" w:eastAsia="仿宋" w:cs="仿宋"/>
          <w:color w:val="333333"/>
          <w:w w:val="99"/>
          <w:sz w:val="32"/>
          <w:szCs w:val="32"/>
        </w:rPr>
        <w:t>企业能源计量管理制度、能源计量人员一览表及培训、</w:t>
      </w:r>
      <w:r>
        <w:rPr>
          <w:rFonts w:hint="eastAsia" w:ascii="仿宋" w:hAnsi="仿宋" w:eastAsia="仿宋" w:cs="仿宋"/>
          <w:color w:val="333333"/>
          <w:spacing w:val="-2"/>
          <w:w w:val="99"/>
          <w:sz w:val="32"/>
          <w:szCs w:val="32"/>
        </w:rPr>
        <w:t>上岗情况、能源计量器具一览表、能源计量器具准确度等级统计汇总表，能源流向图、能源计量采集点网络图、进出用</w:t>
      </w:r>
      <w:r>
        <w:rPr>
          <w:rFonts w:hint="eastAsia" w:ascii="仿宋" w:hAnsi="仿宋" w:eastAsia="仿宋" w:cs="仿宋"/>
          <w:color w:val="333333"/>
          <w:spacing w:val="-1"/>
          <w:w w:val="99"/>
          <w:sz w:val="32"/>
          <w:szCs w:val="32"/>
        </w:rPr>
        <w:t>能单位能源计量器具一览分表、进出主要次级用能单位能源</w:t>
      </w:r>
      <w:r>
        <w:rPr>
          <w:rFonts w:hint="eastAsia" w:ascii="仿宋" w:hAnsi="仿宋" w:eastAsia="仿宋" w:cs="仿宋"/>
          <w:color w:val="333333"/>
          <w:w w:val="99"/>
          <w:sz w:val="32"/>
          <w:szCs w:val="32"/>
        </w:rPr>
        <w:t>计量器具一览分表、主要用能设备能源计量器具一览分表、各种能源计量器具配备率表（填报表</w:t>
      </w:r>
      <w:r>
        <w:rPr>
          <w:rFonts w:hint="eastAsia" w:ascii="仿宋" w:hAnsi="仿宋" w:eastAsia="仿宋" w:cs="仿宋"/>
          <w:color w:val="333333"/>
          <w:spacing w:val="1"/>
          <w:w w:val="99"/>
          <w:sz w:val="32"/>
          <w:szCs w:val="32"/>
        </w:rPr>
        <w:t>1-</w:t>
      </w:r>
      <w:r>
        <w:rPr>
          <w:rFonts w:hint="eastAsia" w:ascii="仿宋" w:hAnsi="仿宋" w:eastAsia="仿宋" w:cs="仿宋"/>
          <w:color w:val="333333"/>
          <w:w w:val="99"/>
          <w:sz w:val="32"/>
          <w:szCs w:val="32"/>
        </w:rPr>
        <w:t>8</w:t>
      </w:r>
      <w:r>
        <w:rPr>
          <w:rFonts w:hint="eastAsia" w:ascii="仿宋" w:hAnsi="仿宋" w:eastAsia="仿宋" w:cs="仿宋"/>
          <w:color w:val="333333"/>
          <w:spacing w:val="1"/>
          <w:w w:val="99"/>
          <w:sz w:val="32"/>
          <w:szCs w:val="32"/>
        </w:rPr>
        <w:t>内容</w:t>
      </w:r>
      <w:r>
        <w:rPr>
          <w:rFonts w:hint="eastAsia" w:ascii="仿宋" w:hAnsi="仿宋" w:eastAsia="仿宋" w:cs="仿宋"/>
          <w:color w:val="333333"/>
          <w:w w:val="99"/>
          <w:sz w:val="32"/>
          <w:szCs w:val="32"/>
        </w:rPr>
        <w:t>）。</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黑体" w:hAnsi="黑体" w:eastAsia="黑体" w:cs="黑体"/>
          <w:color w:val="333333"/>
          <w:w w:val="95"/>
          <w:sz w:val="32"/>
          <w:szCs w:val="32"/>
        </w:rPr>
      </w:pPr>
      <w:r>
        <w:rPr>
          <w:rFonts w:hint="eastAsia" w:ascii="黑体" w:hAnsi="黑体" w:eastAsia="黑体" w:cs="黑体"/>
          <w:color w:val="333333"/>
          <w:w w:val="95"/>
          <w:sz w:val="32"/>
          <w:szCs w:val="32"/>
        </w:rPr>
        <w:t>3、能源消费统计制度情况</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28" w:firstLineChars="200"/>
        <w:jc w:val="both"/>
        <w:textAlignment w:val="auto"/>
        <w:rPr>
          <w:rFonts w:hint="eastAsia" w:ascii="仿宋" w:hAnsi="仿宋" w:eastAsia="仿宋" w:cs="仿宋"/>
          <w:sz w:val="32"/>
          <w:szCs w:val="32"/>
        </w:rPr>
      </w:pPr>
      <w:r>
        <w:rPr>
          <w:rFonts w:hint="eastAsia" w:ascii="仿宋" w:hAnsi="仿宋" w:eastAsia="仿宋" w:cs="仿宋"/>
          <w:color w:val="333333"/>
          <w:spacing w:val="-1"/>
          <w:w w:val="99"/>
          <w:sz w:val="32"/>
          <w:szCs w:val="32"/>
        </w:rPr>
        <w:t>企业能源统计管理分析制度、按生产工序和或生产单元</w:t>
      </w:r>
      <w:r>
        <w:rPr>
          <w:rFonts w:hint="eastAsia" w:ascii="仿宋" w:hAnsi="仿宋" w:eastAsia="仿宋" w:cs="仿宋"/>
          <w:color w:val="333333"/>
          <w:w w:val="99"/>
          <w:sz w:val="32"/>
          <w:szCs w:val="32"/>
        </w:rPr>
        <w:t>的各种能源消费统计月、年报表、重要生产原料的统计月、</w:t>
      </w:r>
      <w:r>
        <w:rPr>
          <w:rFonts w:hint="eastAsia" w:ascii="仿宋" w:hAnsi="仿宋" w:eastAsia="仿宋" w:cs="仿宋"/>
          <w:color w:val="333333"/>
          <w:spacing w:val="-2"/>
          <w:w w:val="99"/>
          <w:sz w:val="32"/>
          <w:szCs w:val="32"/>
        </w:rPr>
        <w:t>年报表、电解碱液、烧碱合格品、聚氯乙烯或甲烷氯化物或草甘膦产量月、年报表。能源利用状况报告编制和上报情况</w:t>
      </w:r>
      <w:r>
        <w:rPr>
          <w:rFonts w:hint="eastAsia" w:ascii="仿宋" w:hAnsi="仿宋" w:eastAsia="仿宋" w:cs="仿宋"/>
          <w:color w:val="333333"/>
          <w:w w:val="99"/>
          <w:sz w:val="32"/>
          <w:szCs w:val="32"/>
        </w:rPr>
        <w:t>说明（填报表</w:t>
      </w:r>
      <w:r>
        <w:rPr>
          <w:rFonts w:hint="eastAsia" w:ascii="仿宋" w:hAnsi="仿宋" w:eastAsia="仿宋" w:cs="仿宋"/>
          <w:color w:val="333333"/>
          <w:spacing w:val="1"/>
          <w:w w:val="99"/>
          <w:sz w:val="32"/>
          <w:szCs w:val="32"/>
        </w:rPr>
        <w:t>1-</w:t>
      </w:r>
      <w:r>
        <w:rPr>
          <w:rFonts w:hint="eastAsia" w:ascii="仿宋" w:hAnsi="仿宋" w:eastAsia="仿宋" w:cs="仿宋"/>
          <w:color w:val="333333"/>
          <w:spacing w:val="-2"/>
          <w:w w:val="99"/>
          <w:sz w:val="32"/>
          <w:szCs w:val="32"/>
        </w:rPr>
        <w:t>4</w:t>
      </w:r>
      <w:r>
        <w:rPr>
          <w:rFonts w:hint="eastAsia" w:ascii="仿宋" w:hAnsi="仿宋" w:eastAsia="仿宋" w:cs="仿宋"/>
          <w:color w:val="333333"/>
          <w:w w:val="99"/>
          <w:sz w:val="32"/>
          <w:szCs w:val="32"/>
        </w:rPr>
        <w:t>、</w:t>
      </w:r>
      <w:r>
        <w:rPr>
          <w:rFonts w:hint="eastAsia" w:ascii="仿宋" w:hAnsi="仿宋" w:eastAsia="仿宋" w:cs="仿宋"/>
          <w:color w:val="333333"/>
          <w:spacing w:val="1"/>
          <w:w w:val="99"/>
          <w:sz w:val="32"/>
          <w:szCs w:val="32"/>
        </w:rPr>
        <w:t>1-</w:t>
      </w:r>
      <w:r>
        <w:rPr>
          <w:rFonts w:hint="eastAsia" w:ascii="仿宋" w:hAnsi="仿宋" w:eastAsia="仿宋" w:cs="仿宋"/>
          <w:color w:val="333333"/>
          <w:w w:val="99"/>
          <w:sz w:val="32"/>
          <w:szCs w:val="32"/>
        </w:rPr>
        <w:t>5</w:t>
      </w:r>
      <w:r>
        <w:rPr>
          <w:rFonts w:hint="eastAsia" w:ascii="仿宋" w:hAnsi="仿宋" w:eastAsia="仿宋" w:cs="仿宋"/>
          <w:color w:val="333333"/>
          <w:spacing w:val="1"/>
          <w:w w:val="99"/>
          <w:sz w:val="32"/>
          <w:szCs w:val="32"/>
        </w:rPr>
        <w:t>数据</w:t>
      </w:r>
      <w:r>
        <w:rPr>
          <w:rFonts w:hint="eastAsia" w:ascii="仿宋" w:hAnsi="仿宋" w:eastAsia="仿宋" w:cs="仿宋"/>
          <w:color w:val="333333"/>
          <w:w w:val="99"/>
          <w:sz w:val="32"/>
          <w:szCs w:val="32"/>
        </w:rPr>
        <w:t>）。</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黑体" w:hAnsi="黑体" w:eastAsia="黑体" w:cs="黑体"/>
          <w:color w:val="333333"/>
          <w:w w:val="95"/>
          <w:sz w:val="32"/>
          <w:szCs w:val="32"/>
        </w:rPr>
      </w:pPr>
      <w:r>
        <w:rPr>
          <w:rFonts w:hint="eastAsia" w:ascii="黑体" w:hAnsi="黑体" w:eastAsia="黑体" w:cs="黑体"/>
          <w:color w:val="333333"/>
          <w:w w:val="95"/>
          <w:sz w:val="32"/>
          <w:szCs w:val="32"/>
        </w:rPr>
        <w:t>4、单位产品能耗及能耗限额对标达标情况</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28" w:firstLineChars="200"/>
        <w:jc w:val="both"/>
        <w:textAlignment w:val="auto"/>
        <w:rPr>
          <w:rFonts w:hint="eastAsia" w:ascii="仿宋" w:hAnsi="仿宋" w:eastAsia="仿宋" w:cs="仿宋"/>
          <w:sz w:val="32"/>
          <w:szCs w:val="32"/>
        </w:rPr>
      </w:pPr>
      <w:r>
        <w:rPr>
          <w:rFonts w:hint="eastAsia" w:ascii="仿宋" w:hAnsi="仿宋" w:eastAsia="仿宋" w:cs="仿宋"/>
          <w:color w:val="333333"/>
          <w:spacing w:val="-1"/>
          <w:w w:val="99"/>
          <w:sz w:val="32"/>
          <w:szCs w:val="32"/>
        </w:rPr>
        <w:t>列出单位产品能耗的计算过程。企业电解单元电解碱液</w:t>
      </w:r>
      <w:r>
        <w:rPr>
          <w:rFonts w:hint="eastAsia" w:ascii="仿宋" w:hAnsi="仿宋" w:eastAsia="仿宋" w:cs="仿宋"/>
          <w:color w:val="333333"/>
          <w:spacing w:val="-2"/>
          <w:w w:val="99"/>
          <w:sz w:val="32"/>
          <w:szCs w:val="32"/>
        </w:rPr>
        <w:t>单位交流电耗、烧碱单位产品综合能耗、聚氯乙烯单位产品</w:t>
      </w:r>
      <w:r>
        <w:rPr>
          <w:rFonts w:hint="eastAsia" w:ascii="仿宋" w:hAnsi="仿宋" w:eastAsia="仿宋" w:cs="仿宋"/>
          <w:color w:val="333333"/>
          <w:spacing w:val="-1"/>
          <w:w w:val="99"/>
          <w:sz w:val="32"/>
          <w:szCs w:val="32"/>
        </w:rPr>
        <w:t>综合能耗对标分析及变化说明或甲烷氯化物、草甘膦单位产</w:t>
      </w:r>
      <w:r>
        <w:rPr>
          <w:rFonts w:hint="eastAsia" w:ascii="仿宋" w:hAnsi="仿宋" w:eastAsia="仿宋" w:cs="仿宋"/>
          <w:color w:val="333333"/>
          <w:w w:val="99"/>
          <w:sz w:val="32"/>
          <w:szCs w:val="32"/>
        </w:rPr>
        <w:t>品能耗情况及变化说明</w:t>
      </w:r>
      <w:r>
        <w:rPr>
          <w:rFonts w:hint="eastAsia" w:ascii="仿宋" w:hAnsi="仿宋" w:eastAsia="仿宋" w:cs="仿宋"/>
          <w:color w:val="333333"/>
          <w:spacing w:val="2"/>
          <w:w w:val="99"/>
          <w:sz w:val="32"/>
          <w:szCs w:val="32"/>
        </w:rPr>
        <w:t>（</w:t>
      </w:r>
      <w:r>
        <w:rPr>
          <w:rFonts w:hint="eastAsia" w:ascii="仿宋" w:hAnsi="仿宋" w:eastAsia="仿宋" w:cs="仿宋"/>
          <w:color w:val="333333"/>
          <w:w w:val="99"/>
          <w:sz w:val="32"/>
          <w:szCs w:val="32"/>
        </w:rPr>
        <w:t>填报表</w:t>
      </w:r>
      <w:r>
        <w:rPr>
          <w:rFonts w:hint="eastAsia" w:ascii="仿宋" w:hAnsi="仿宋" w:eastAsia="仿宋" w:cs="仿宋"/>
          <w:color w:val="333333"/>
          <w:spacing w:val="1"/>
          <w:w w:val="99"/>
          <w:sz w:val="32"/>
          <w:szCs w:val="32"/>
        </w:rPr>
        <w:t>1-</w:t>
      </w:r>
      <w:r>
        <w:rPr>
          <w:rFonts w:hint="eastAsia" w:ascii="仿宋" w:hAnsi="仿宋" w:eastAsia="仿宋" w:cs="仿宋"/>
          <w:color w:val="333333"/>
          <w:spacing w:val="-2"/>
          <w:w w:val="99"/>
          <w:sz w:val="32"/>
          <w:szCs w:val="32"/>
        </w:rPr>
        <w:t>6</w:t>
      </w:r>
      <w:r>
        <w:rPr>
          <w:rFonts w:hint="eastAsia" w:ascii="仿宋" w:hAnsi="仿宋" w:eastAsia="仿宋" w:cs="仿宋"/>
          <w:color w:val="333333"/>
          <w:w w:val="99"/>
          <w:sz w:val="32"/>
          <w:szCs w:val="32"/>
        </w:rPr>
        <w:t>、</w:t>
      </w:r>
      <w:r>
        <w:rPr>
          <w:rFonts w:hint="eastAsia" w:ascii="仿宋" w:hAnsi="仿宋" w:eastAsia="仿宋" w:cs="仿宋"/>
          <w:color w:val="333333"/>
          <w:spacing w:val="1"/>
          <w:w w:val="99"/>
          <w:sz w:val="32"/>
          <w:szCs w:val="32"/>
        </w:rPr>
        <w:t>1-</w:t>
      </w:r>
      <w:r>
        <w:rPr>
          <w:rFonts w:hint="eastAsia" w:ascii="仿宋" w:hAnsi="仿宋" w:eastAsia="仿宋" w:cs="仿宋"/>
          <w:color w:val="333333"/>
          <w:w w:val="99"/>
          <w:sz w:val="32"/>
          <w:szCs w:val="32"/>
        </w:rPr>
        <w:t>7</w:t>
      </w:r>
      <w:r>
        <w:rPr>
          <w:rFonts w:hint="eastAsia" w:ascii="仿宋" w:hAnsi="仿宋" w:eastAsia="仿宋" w:cs="仿宋"/>
          <w:color w:val="333333"/>
          <w:spacing w:val="1"/>
          <w:w w:val="99"/>
          <w:sz w:val="32"/>
          <w:szCs w:val="32"/>
        </w:rPr>
        <w:t>数据</w:t>
      </w:r>
      <w:r>
        <w:rPr>
          <w:rFonts w:hint="eastAsia" w:ascii="仿宋" w:hAnsi="仿宋" w:eastAsia="仿宋" w:cs="仿宋"/>
          <w:color w:val="333333"/>
          <w:w w:val="99"/>
          <w:sz w:val="32"/>
          <w:szCs w:val="32"/>
        </w:rPr>
        <w:t>）。</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黑体" w:hAnsi="黑体" w:eastAsia="黑体" w:cs="黑体"/>
          <w:color w:val="333333"/>
          <w:w w:val="95"/>
          <w:sz w:val="32"/>
          <w:szCs w:val="32"/>
        </w:rPr>
      </w:pPr>
      <w:r>
        <w:rPr>
          <w:rFonts w:hint="eastAsia" w:ascii="黑体" w:hAnsi="黑体" w:eastAsia="黑体" w:cs="黑体"/>
          <w:color w:val="333333"/>
          <w:w w:val="95"/>
          <w:sz w:val="32"/>
          <w:szCs w:val="32"/>
        </w:rPr>
        <w:t>5、企业能源管理现状</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24" w:firstLineChars="200"/>
        <w:jc w:val="both"/>
        <w:textAlignment w:val="auto"/>
        <w:rPr>
          <w:rFonts w:hint="eastAsia" w:ascii="仿宋" w:hAnsi="仿宋" w:eastAsia="仿宋" w:cs="仿宋"/>
          <w:sz w:val="32"/>
          <w:szCs w:val="32"/>
        </w:rPr>
      </w:pPr>
      <w:r>
        <w:rPr>
          <w:rFonts w:hint="eastAsia" w:ascii="仿宋" w:hAnsi="仿宋" w:eastAsia="仿宋" w:cs="仿宋"/>
          <w:color w:val="333333"/>
          <w:spacing w:val="-2"/>
          <w:w w:val="99"/>
          <w:sz w:val="32"/>
          <w:szCs w:val="32"/>
        </w:rPr>
        <w:t>企业能源管理体系、能源管理制度建立情况，能源管理</w:t>
      </w:r>
      <w:r>
        <w:rPr>
          <w:rFonts w:hint="eastAsia" w:ascii="仿宋" w:hAnsi="仿宋" w:eastAsia="仿宋" w:cs="仿宋"/>
          <w:color w:val="333333"/>
          <w:w w:val="99"/>
          <w:sz w:val="32"/>
          <w:szCs w:val="32"/>
        </w:rPr>
        <w:t>机构及人员情况，建立节能目标责任制情况。</w:t>
      </w:r>
    </w:p>
    <w:p>
      <w:pPr>
        <w:pStyle w:val="2"/>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Chars="0" w:right="0" w:rightChars="0" w:firstLine="608" w:firstLineChars="200"/>
        <w:jc w:val="both"/>
        <w:textAlignment w:val="auto"/>
        <w:rPr>
          <w:rFonts w:hint="eastAsia" w:ascii="黑体" w:hAnsi="黑体" w:eastAsia="黑体" w:cs="黑体"/>
          <w:color w:val="333333"/>
          <w:w w:val="95"/>
          <w:sz w:val="32"/>
          <w:szCs w:val="32"/>
        </w:rPr>
      </w:pPr>
      <w:r>
        <w:rPr>
          <w:rFonts w:hint="eastAsia" w:ascii="黑体" w:hAnsi="黑体" w:eastAsia="黑体" w:cs="黑体"/>
          <w:color w:val="333333"/>
          <w:w w:val="95"/>
          <w:sz w:val="32"/>
          <w:szCs w:val="32"/>
          <w:lang w:val="en-US" w:eastAsia="zh-CN"/>
        </w:rPr>
        <w:t>6、</w:t>
      </w:r>
      <w:r>
        <w:rPr>
          <w:rFonts w:hint="eastAsia" w:ascii="黑体" w:hAnsi="黑体" w:eastAsia="黑体" w:cs="黑体"/>
          <w:color w:val="333333"/>
          <w:w w:val="95"/>
          <w:sz w:val="32"/>
          <w:szCs w:val="32"/>
        </w:rPr>
        <w:t>淘汰落后工艺、设备，主要用能设备能效情况</w:t>
      </w:r>
    </w:p>
    <w:p>
      <w:pPr>
        <w:pStyle w:val="2"/>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Chars="0" w:right="0" w:rightChars="0" w:firstLine="632" w:firstLineChars="200"/>
        <w:jc w:val="both"/>
        <w:textAlignment w:val="auto"/>
        <w:rPr>
          <w:rFonts w:hint="eastAsia" w:ascii="仿宋" w:hAnsi="仿宋" w:eastAsia="仿宋" w:cs="仿宋"/>
          <w:sz w:val="32"/>
          <w:szCs w:val="32"/>
        </w:rPr>
      </w:pPr>
      <w:r>
        <w:rPr>
          <w:rFonts w:hint="eastAsia" w:ascii="仿宋" w:hAnsi="仿宋" w:eastAsia="仿宋" w:cs="仿宋"/>
          <w:color w:val="333333"/>
          <w:spacing w:val="-2"/>
          <w:sz w:val="32"/>
          <w:szCs w:val="32"/>
        </w:rPr>
        <w:t>相关落后工艺、设备在用情况及主要用能设备能效情况</w:t>
      </w:r>
      <w:r>
        <w:rPr>
          <w:rFonts w:hint="eastAsia" w:ascii="仿宋" w:hAnsi="仿宋" w:eastAsia="仿宋" w:cs="仿宋"/>
          <w:color w:val="333333"/>
          <w:w w:val="95"/>
          <w:sz w:val="32"/>
          <w:szCs w:val="32"/>
        </w:rPr>
        <w:t>说（填</w:t>
      </w:r>
      <w:r>
        <w:rPr>
          <w:rFonts w:hint="eastAsia" w:ascii="仿宋" w:hAnsi="仿宋" w:eastAsia="仿宋" w:cs="仿宋"/>
          <w:color w:val="333333"/>
          <w:spacing w:val="-1"/>
          <w:w w:val="95"/>
          <w:sz w:val="32"/>
          <w:szCs w:val="32"/>
        </w:rPr>
        <w:t>报表</w:t>
      </w:r>
      <w:r>
        <w:rPr>
          <w:rFonts w:hint="eastAsia" w:ascii="仿宋" w:hAnsi="仿宋" w:eastAsia="仿宋" w:cs="仿宋"/>
          <w:color w:val="333333"/>
          <w:w w:val="95"/>
          <w:sz w:val="32"/>
          <w:szCs w:val="32"/>
        </w:rPr>
        <w:t>1-3</w:t>
      </w:r>
      <w:r>
        <w:rPr>
          <w:rFonts w:hint="eastAsia" w:cs="仿宋"/>
          <w:color w:val="333333"/>
          <w:w w:val="95"/>
          <w:sz w:val="32"/>
          <w:szCs w:val="32"/>
          <w:lang w:eastAsia="zh-CN"/>
        </w:rPr>
        <w:t>、表</w:t>
      </w:r>
      <w:r>
        <w:rPr>
          <w:rFonts w:hint="eastAsia" w:cs="仿宋"/>
          <w:color w:val="333333"/>
          <w:w w:val="95"/>
          <w:sz w:val="32"/>
          <w:szCs w:val="32"/>
          <w:lang w:val="en-US" w:eastAsia="zh-CN"/>
        </w:rPr>
        <w:t>1-10</w:t>
      </w:r>
      <w:r>
        <w:rPr>
          <w:rFonts w:hint="eastAsia" w:ascii="Times New Roman" w:hAnsi="Times New Roman"/>
          <w:lang w:val="en-US" w:eastAsia="zh-CN"/>
        </w:rPr>
        <w:t>~</w:t>
      </w:r>
      <w:r>
        <w:rPr>
          <w:rFonts w:hint="eastAsia" w:cs="仿宋"/>
          <w:color w:val="333333"/>
          <w:w w:val="95"/>
          <w:sz w:val="32"/>
          <w:szCs w:val="32"/>
          <w:lang w:val="en-US" w:eastAsia="zh-CN"/>
        </w:rPr>
        <w:t>表1-16</w:t>
      </w:r>
      <w:r>
        <w:rPr>
          <w:rFonts w:hint="eastAsia" w:ascii="仿宋" w:hAnsi="仿宋" w:eastAsia="仿宋" w:cs="仿宋"/>
          <w:color w:val="333333"/>
          <w:spacing w:val="-2"/>
          <w:w w:val="95"/>
          <w:sz w:val="32"/>
          <w:szCs w:val="32"/>
        </w:rPr>
        <w:t>内容</w:t>
      </w:r>
      <w:r>
        <w:rPr>
          <w:rFonts w:hint="eastAsia" w:ascii="仿宋" w:hAnsi="仿宋" w:eastAsia="仿宋" w:cs="仿宋"/>
          <w:color w:val="333333"/>
          <w:w w:val="95"/>
          <w:sz w:val="32"/>
          <w:szCs w:val="32"/>
        </w:rPr>
        <w:t>）</w:t>
      </w:r>
      <w:r>
        <w:rPr>
          <w:rFonts w:hint="eastAsia" w:ascii="仿宋" w:hAnsi="仿宋" w:eastAsia="仿宋" w:cs="仿宋"/>
          <w:color w:val="333333"/>
          <w:spacing w:val="-10"/>
          <w:w w:val="95"/>
          <w:sz w:val="32"/>
          <w:szCs w:val="32"/>
        </w:rPr>
        <w:t>。</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黑体" w:hAnsi="黑体" w:eastAsia="黑体" w:cs="黑体"/>
          <w:color w:val="333333"/>
          <w:w w:val="95"/>
          <w:sz w:val="32"/>
          <w:szCs w:val="32"/>
        </w:rPr>
      </w:pPr>
      <w:r>
        <w:rPr>
          <w:rFonts w:hint="eastAsia" w:ascii="黑体" w:hAnsi="黑体" w:eastAsia="黑体" w:cs="黑体"/>
          <w:color w:val="333333"/>
          <w:w w:val="95"/>
          <w:sz w:val="32"/>
          <w:szCs w:val="32"/>
          <w:lang w:val="en-US" w:eastAsia="zh-CN"/>
        </w:rPr>
        <w:t>7、</w:t>
      </w:r>
      <w:r>
        <w:rPr>
          <w:rFonts w:hint="eastAsia" w:ascii="黑体" w:hAnsi="黑体" w:eastAsia="黑体" w:cs="黑体"/>
          <w:color w:val="333333"/>
          <w:w w:val="95"/>
          <w:sz w:val="32"/>
          <w:szCs w:val="32"/>
        </w:rPr>
        <w:t>节能技术改造内容及完成情况</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仿宋" w:hAnsi="仿宋" w:eastAsia="仿宋" w:cs="仿宋"/>
          <w:color w:val="333333"/>
          <w:w w:val="95"/>
          <w:sz w:val="32"/>
          <w:szCs w:val="32"/>
        </w:rPr>
      </w:pPr>
      <w:r>
        <w:rPr>
          <w:rFonts w:hint="eastAsia" w:ascii="仿宋" w:hAnsi="仿宋" w:eastAsia="仿宋" w:cs="仿宋"/>
          <w:color w:val="333333"/>
          <w:w w:val="95"/>
          <w:sz w:val="32"/>
          <w:szCs w:val="32"/>
        </w:rPr>
        <w:t>节能技术改造内容及完成情况</w:t>
      </w:r>
      <w:r>
        <w:rPr>
          <w:rFonts w:hint="eastAsia" w:ascii="仿宋" w:hAnsi="仿宋" w:eastAsia="仿宋" w:cs="仿宋"/>
          <w:color w:val="333333"/>
          <w:spacing w:val="-40"/>
          <w:w w:val="95"/>
          <w:sz w:val="32"/>
          <w:szCs w:val="32"/>
        </w:rPr>
        <w:t>说明</w:t>
      </w:r>
      <w:r>
        <w:rPr>
          <w:rFonts w:hint="eastAsia" w:ascii="仿宋" w:hAnsi="仿宋" w:eastAsia="仿宋" w:cs="仿宋"/>
          <w:color w:val="333333"/>
          <w:w w:val="95"/>
          <w:sz w:val="32"/>
          <w:szCs w:val="32"/>
        </w:rPr>
        <w:t>（填</w:t>
      </w:r>
      <w:r>
        <w:rPr>
          <w:rFonts w:hint="eastAsia" w:ascii="仿宋" w:hAnsi="仿宋" w:eastAsia="仿宋" w:cs="仿宋"/>
          <w:color w:val="333333"/>
          <w:spacing w:val="-4"/>
          <w:w w:val="95"/>
          <w:sz w:val="32"/>
          <w:szCs w:val="32"/>
        </w:rPr>
        <w:t>报表</w:t>
      </w:r>
      <w:r>
        <w:rPr>
          <w:rFonts w:hint="eastAsia" w:ascii="仿宋" w:hAnsi="仿宋" w:eastAsia="仿宋" w:cs="仿宋"/>
          <w:color w:val="333333"/>
          <w:w w:val="95"/>
          <w:sz w:val="32"/>
          <w:szCs w:val="32"/>
        </w:rPr>
        <w:t>1-9</w:t>
      </w:r>
      <w:r>
        <w:rPr>
          <w:rFonts w:hint="eastAsia" w:ascii="仿宋" w:hAnsi="仿宋" w:eastAsia="仿宋" w:cs="仿宋"/>
          <w:color w:val="333333"/>
          <w:spacing w:val="-6"/>
          <w:w w:val="95"/>
          <w:sz w:val="32"/>
          <w:szCs w:val="32"/>
        </w:rPr>
        <w:t>内容</w:t>
      </w:r>
      <w:r>
        <w:rPr>
          <w:rFonts w:hint="eastAsia" w:ascii="仿宋" w:hAnsi="仿宋" w:eastAsia="仿宋" w:cs="仿宋"/>
          <w:color w:val="333333"/>
          <w:spacing w:val="-79"/>
          <w:w w:val="95"/>
          <w:sz w:val="32"/>
          <w:szCs w:val="32"/>
        </w:rPr>
        <w:t>）</w:t>
      </w:r>
      <w:r>
        <w:rPr>
          <w:rFonts w:hint="eastAsia" w:ascii="仿宋" w:hAnsi="仿宋" w:eastAsia="仿宋" w:cs="仿宋"/>
          <w:color w:val="333333"/>
          <w:w w:val="95"/>
          <w:sz w:val="32"/>
          <w:szCs w:val="32"/>
        </w:rPr>
        <w:t>。</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黑体" w:hAnsi="黑体" w:eastAsia="黑体" w:cs="黑体"/>
          <w:color w:val="333333"/>
          <w:w w:val="95"/>
          <w:sz w:val="32"/>
          <w:szCs w:val="32"/>
          <w:lang w:val="en-US" w:eastAsia="zh-CN"/>
        </w:rPr>
      </w:pPr>
      <w:r>
        <w:rPr>
          <w:rFonts w:hint="eastAsia" w:ascii="黑体" w:hAnsi="黑体" w:eastAsia="黑体" w:cs="黑体"/>
          <w:color w:val="333333"/>
          <w:w w:val="95"/>
          <w:sz w:val="32"/>
          <w:szCs w:val="32"/>
          <w:lang w:val="en-US" w:eastAsia="zh-CN"/>
        </w:rPr>
        <w:t>8、固定资产投资项目节能审查制度情况</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仿宋" w:hAnsi="仿宋" w:eastAsia="仿宋" w:cs="仿宋"/>
          <w:color w:val="333333"/>
          <w:w w:val="95"/>
          <w:sz w:val="32"/>
          <w:szCs w:val="32"/>
        </w:rPr>
      </w:pPr>
      <w:r>
        <w:rPr>
          <w:rFonts w:hint="eastAsia" w:ascii="仿宋" w:hAnsi="仿宋" w:eastAsia="仿宋" w:cs="仿宋"/>
          <w:color w:val="333333"/>
          <w:w w:val="95"/>
          <w:sz w:val="32"/>
          <w:szCs w:val="32"/>
        </w:rPr>
        <w:t>包括项目节能评估报告编制、审查、验收情况、节能审查意见落实等情况说明。</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08" w:firstLineChars="200"/>
        <w:jc w:val="both"/>
        <w:textAlignment w:val="auto"/>
        <w:rPr>
          <w:rFonts w:hint="eastAsia" w:ascii="黑体" w:hAnsi="黑体" w:eastAsia="黑体" w:cs="黑体"/>
          <w:color w:val="333333"/>
          <w:w w:val="95"/>
          <w:sz w:val="32"/>
          <w:szCs w:val="32"/>
          <w:lang w:val="en-US" w:eastAsia="zh-CN"/>
        </w:rPr>
      </w:pPr>
      <w:r>
        <w:rPr>
          <w:rFonts w:hint="eastAsia" w:ascii="黑体" w:hAnsi="黑体" w:eastAsia="黑体" w:cs="黑体"/>
          <w:color w:val="333333"/>
          <w:w w:val="95"/>
          <w:sz w:val="32"/>
          <w:szCs w:val="32"/>
          <w:lang w:val="en-US" w:eastAsia="zh-CN"/>
        </w:rPr>
        <w:t>9、存在的问题及改进计划或措施。</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28" w:firstLineChars="200"/>
        <w:jc w:val="both"/>
        <w:textAlignment w:val="auto"/>
        <w:rPr>
          <w:rFonts w:hint="eastAsia" w:ascii="仿宋" w:hAnsi="仿宋" w:eastAsia="仿宋" w:cs="仿宋"/>
          <w:sz w:val="32"/>
          <w:szCs w:val="32"/>
        </w:rPr>
      </w:pPr>
      <w:r>
        <w:rPr>
          <w:rFonts w:hint="eastAsia" w:ascii="仿宋" w:hAnsi="仿宋" w:eastAsia="仿宋" w:cs="仿宋"/>
          <w:color w:val="333333"/>
          <w:spacing w:val="-1"/>
          <w:w w:val="99"/>
          <w:sz w:val="32"/>
          <w:szCs w:val="32"/>
        </w:rPr>
        <w:t>企业能源利用存在问题以及相应的整改措施。对达不到强制性能耗限额标准的单位产品能耗，应提出明确的节能改</w:t>
      </w:r>
      <w:r>
        <w:rPr>
          <w:rFonts w:hint="eastAsia" w:ascii="仿宋" w:hAnsi="仿宋" w:eastAsia="仿宋" w:cs="仿宋"/>
          <w:color w:val="333333"/>
          <w:w w:val="99"/>
          <w:sz w:val="32"/>
          <w:szCs w:val="32"/>
        </w:rPr>
        <w:t>造计划。</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 w:hAnsi="仿宋" w:eastAsia="仿宋" w:cs="仿宋"/>
          <w:sz w:val="32"/>
          <w:szCs w:val="32"/>
        </w:rPr>
        <w:sectPr>
          <w:footerReference r:id="rId3" w:type="default"/>
          <w:pgSz w:w="11910" w:h="16840"/>
          <w:pgMar w:top="1400" w:right="1460" w:bottom="1960" w:left="1440" w:header="0" w:footer="1772" w:gutter="0"/>
          <w:cols w:space="720" w:num="1"/>
        </w:sectPr>
      </w:pPr>
    </w:p>
    <w:p>
      <w:pPr>
        <w:pStyle w:val="2"/>
        <w:tabs>
          <w:tab w:val="left" w:pos="3556"/>
        </w:tabs>
        <w:spacing w:before="1"/>
        <w:jc w:val="center"/>
        <w:rPr>
          <w:rFonts w:hint="eastAsia" w:ascii="黑体" w:hAnsi="黑体" w:eastAsia="黑体" w:cs="黑体"/>
        </w:rPr>
      </w:pPr>
      <w:bookmarkStart w:id="0" w:name="表__1-1_____________氯碱企业基本信息表"/>
      <w:bookmarkEnd w:id="0"/>
      <w:r>
        <w:rPr>
          <w:rFonts w:hint="eastAsia" w:ascii="黑体" w:hAnsi="黑体" w:eastAsia="黑体" w:cs="黑体"/>
          <w:color w:val="333333"/>
        </w:rPr>
        <w:t>表1-</w:t>
      </w:r>
      <w:r>
        <w:rPr>
          <w:rFonts w:hint="eastAsia" w:ascii="黑体" w:hAnsi="黑体" w:eastAsia="黑体" w:cs="黑体"/>
          <w:color w:val="333333"/>
          <w:spacing w:val="-10"/>
        </w:rPr>
        <w:t>1</w:t>
      </w:r>
      <w:r>
        <w:rPr>
          <w:rFonts w:hint="eastAsia" w:ascii="黑体" w:hAnsi="黑体" w:eastAsia="黑体" w:cs="黑体"/>
          <w:color w:val="333333"/>
          <w:spacing w:val="-10"/>
          <w:lang w:val="en-US" w:eastAsia="zh-CN"/>
        </w:rPr>
        <w:t xml:space="preserve"> </w:t>
      </w:r>
      <w:r>
        <w:rPr>
          <w:rFonts w:hint="eastAsia" w:ascii="黑体" w:hAnsi="黑体" w:eastAsia="黑体" w:cs="黑体"/>
          <w:color w:val="333333"/>
          <w:w w:val="95"/>
        </w:rPr>
        <w:t>氯碱企业基本信息</w:t>
      </w:r>
      <w:r>
        <w:rPr>
          <w:rFonts w:hint="eastAsia" w:ascii="黑体" w:hAnsi="黑体" w:eastAsia="黑体" w:cs="黑体"/>
          <w:color w:val="333333"/>
          <w:spacing w:val="-10"/>
          <w:w w:val="95"/>
        </w:rPr>
        <w:t>表</w:t>
      </w:r>
    </w:p>
    <w:tbl>
      <w:tblPr>
        <w:tblStyle w:val="8"/>
        <w:tblW w:w="91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9"/>
        <w:gridCol w:w="2361"/>
        <w:gridCol w:w="764"/>
        <w:gridCol w:w="711"/>
        <w:gridCol w:w="2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9140" w:type="dxa"/>
            <w:gridSpan w:val="5"/>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一、企业基本信息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257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企业名称（盖章）</w:t>
            </w:r>
          </w:p>
        </w:tc>
        <w:tc>
          <w:tcPr>
            <w:tcW w:w="6561" w:type="dxa"/>
            <w:gridSpan w:val="4"/>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57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统一社会信用代码</w:t>
            </w:r>
          </w:p>
        </w:tc>
        <w:tc>
          <w:tcPr>
            <w:tcW w:w="236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475" w:type="dxa"/>
            <w:gridSpan w:val="2"/>
            <w:vAlign w:val="center"/>
          </w:tcPr>
          <w:p>
            <w:pPr>
              <w:pStyle w:val="10"/>
              <w:keepNext w:val="0"/>
              <w:keepLines w:val="0"/>
              <w:pageBreakBefore w:val="0"/>
              <w:widowControl w:val="0"/>
              <w:tabs>
                <w:tab w:val="left" w:pos="989"/>
              </w:tabs>
              <w:kinsoku/>
              <w:wordWrap/>
              <w:overflowPunct w:val="0"/>
              <w:topLinePunct w:val="0"/>
              <w:autoSpaceDE/>
              <w:autoSpaceDN/>
              <w:bidi w:val="0"/>
              <w:adjustRightInd/>
              <w:snapToGrid/>
              <w:ind w:left="0" w:right="0"/>
              <w:jc w:val="center"/>
              <w:textAlignment w:val="auto"/>
              <w:rPr>
                <w:spacing w:val="0"/>
                <w:sz w:val="28"/>
              </w:rPr>
            </w:pPr>
            <w:r>
              <w:rPr>
                <w:spacing w:val="0"/>
                <w:sz w:val="28"/>
              </w:rPr>
              <w:t>邮</w:t>
            </w:r>
            <w:r>
              <w:rPr>
                <w:spacing w:val="0"/>
                <w:sz w:val="28"/>
              </w:rPr>
              <w:tab/>
            </w:r>
            <w:r>
              <w:rPr>
                <w:spacing w:val="0"/>
                <w:sz w:val="28"/>
              </w:rPr>
              <w:t>编</w:t>
            </w:r>
          </w:p>
        </w:tc>
        <w:tc>
          <w:tcPr>
            <w:tcW w:w="2725"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257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详细地址</w:t>
            </w:r>
          </w:p>
        </w:tc>
        <w:tc>
          <w:tcPr>
            <w:tcW w:w="6561" w:type="dxa"/>
            <w:gridSpan w:val="4"/>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57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法定代表人</w:t>
            </w:r>
          </w:p>
        </w:tc>
        <w:tc>
          <w:tcPr>
            <w:tcW w:w="236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475"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联系电话</w:t>
            </w:r>
          </w:p>
        </w:tc>
        <w:tc>
          <w:tcPr>
            <w:tcW w:w="2725"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257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企业联系人</w:t>
            </w:r>
          </w:p>
        </w:tc>
        <w:tc>
          <w:tcPr>
            <w:tcW w:w="236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475"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联系电话</w:t>
            </w:r>
          </w:p>
        </w:tc>
        <w:tc>
          <w:tcPr>
            <w:tcW w:w="2725"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57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能源管理人员</w:t>
            </w:r>
          </w:p>
        </w:tc>
        <w:tc>
          <w:tcPr>
            <w:tcW w:w="236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475"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联系电话</w:t>
            </w:r>
          </w:p>
        </w:tc>
        <w:tc>
          <w:tcPr>
            <w:tcW w:w="2725"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257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传真</w:t>
            </w:r>
          </w:p>
        </w:tc>
        <w:tc>
          <w:tcPr>
            <w:tcW w:w="236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475"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电子邮箱</w:t>
            </w:r>
          </w:p>
        </w:tc>
        <w:tc>
          <w:tcPr>
            <w:tcW w:w="2725"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257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企业类型</w:t>
            </w:r>
          </w:p>
        </w:tc>
        <w:tc>
          <w:tcPr>
            <w:tcW w:w="6561" w:type="dxa"/>
            <w:gridSpan w:val="4"/>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内资（□国有□集体□民营）□中外合资</w:t>
            </w:r>
          </w:p>
          <w:p>
            <w:pPr>
              <w:pStyle w:val="10"/>
              <w:keepNext w:val="0"/>
              <w:keepLines w:val="0"/>
              <w:pageBreakBefore w:val="0"/>
              <w:widowControl w:val="0"/>
              <w:kinsoku/>
              <w:wordWrap/>
              <w:overflowPunct w:val="0"/>
              <w:topLinePunct w:val="0"/>
              <w:autoSpaceDE/>
              <w:autoSpaceDN/>
              <w:bidi w:val="0"/>
              <w:adjustRightInd/>
              <w:snapToGrid/>
              <w:spacing w:line="340" w:lineRule="exact"/>
              <w:ind w:left="0" w:right="0"/>
              <w:jc w:val="center"/>
              <w:textAlignment w:val="auto"/>
              <w:rPr>
                <w:spacing w:val="0"/>
                <w:sz w:val="28"/>
              </w:rPr>
            </w:pPr>
            <w:r>
              <w:rPr>
                <w:spacing w:val="0"/>
                <w:sz w:val="28"/>
              </w:rPr>
              <w:t>□港澳台资□外商独资□其他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9140" w:type="dxa"/>
            <w:gridSpan w:val="5"/>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二、（核查年度）企业能耗指标</w:t>
            </w:r>
          </w:p>
          <w:p>
            <w:pPr>
              <w:pStyle w:val="10"/>
              <w:keepNext w:val="0"/>
              <w:keepLines w:val="0"/>
              <w:pageBreakBefore w:val="0"/>
              <w:widowControl w:val="0"/>
              <w:kinsoku/>
              <w:wordWrap/>
              <w:overflowPunct w:val="0"/>
              <w:topLinePunct w:val="0"/>
              <w:autoSpaceDE/>
              <w:autoSpaceDN/>
              <w:bidi w:val="0"/>
              <w:adjustRightInd/>
              <w:snapToGrid/>
              <w:spacing w:line="342" w:lineRule="exact"/>
              <w:ind w:left="0" w:right="0"/>
              <w:jc w:val="center"/>
              <w:textAlignment w:val="auto"/>
              <w:rPr>
                <w:spacing w:val="0"/>
                <w:sz w:val="28"/>
              </w:rPr>
            </w:pPr>
            <w:r>
              <w:rPr>
                <w:spacing w:val="0"/>
                <w:sz w:val="28"/>
              </w:rPr>
              <w:t>（统计范围和计算方法按照单位产品能源消耗限额国家标准执行）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5704" w:type="dxa"/>
            <w:gridSpan w:val="3"/>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年工业总产值（万元）</w:t>
            </w:r>
          </w:p>
        </w:tc>
        <w:tc>
          <w:tcPr>
            <w:tcW w:w="3436"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jc w:val="center"/>
        </w:trPr>
        <w:tc>
          <w:tcPr>
            <w:tcW w:w="5704" w:type="dxa"/>
            <w:gridSpan w:val="3"/>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年企业综合能源消费量（吨标准煤）</w:t>
            </w:r>
          </w:p>
        </w:tc>
        <w:tc>
          <w:tcPr>
            <w:tcW w:w="3436"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jc w:val="center"/>
        </w:trPr>
        <w:tc>
          <w:tcPr>
            <w:tcW w:w="5704" w:type="dxa"/>
            <w:gridSpan w:val="3"/>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年总电耗（万千瓦时）</w:t>
            </w:r>
          </w:p>
        </w:tc>
        <w:tc>
          <w:tcPr>
            <w:tcW w:w="3436"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jc w:val="center"/>
        </w:trPr>
        <w:tc>
          <w:tcPr>
            <w:tcW w:w="5704" w:type="dxa"/>
            <w:gridSpan w:val="3"/>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年烧碱（或钾碱）装置设计产能（吨）</w:t>
            </w:r>
          </w:p>
        </w:tc>
        <w:tc>
          <w:tcPr>
            <w:tcW w:w="3436"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5704" w:type="dxa"/>
            <w:gridSpan w:val="3"/>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年烧碱（或钾碱）总产量（吨）</w:t>
            </w:r>
          </w:p>
        </w:tc>
        <w:tc>
          <w:tcPr>
            <w:tcW w:w="3436"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jc w:val="center"/>
        </w:trPr>
        <w:tc>
          <w:tcPr>
            <w:tcW w:w="5704" w:type="dxa"/>
            <w:gridSpan w:val="3"/>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年烧碱单位产品综合能耗（千克标准煤/吨）</w:t>
            </w:r>
          </w:p>
        </w:tc>
        <w:tc>
          <w:tcPr>
            <w:tcW w:w="3436"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（注：不同产品分别列出）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jc w:val="center"/>
        </w:trPr>
        <w:tc>
          <w:tcPr>
            <w:tcW w:w="5704" w:type="dxa"/>
            <w:gridSpan w:val="3"/>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年烧碱电解单元交流电耗（千瓦时/吨）</w:t>
            </w:r>
          </w:p>
        </w:tc>
        <w:tc>
          <w:tcPr>
            <w:tcW w:w="3436"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（注：不同产品分别列出）</w:t>
            </w:r>
          </w:p>
        </w:tc>
      </w:tr>
    </w:tbl>
    <w:p>
      <w:pPr>
        <w:jc w:val="center"/>
        <w:rPr>
          <w:sz w:val="28"/>
        </w:rPr>
        <w:sectPr>
          <w:pgSz w:w="11910" w:h="16840"/>
          <w:pgMar w:top="1400" w:right="1460" w:bottom="2306" w:left="1440" w:header="0" w:footer="1772" w:gutter="0"/>
          <w:cols w:space="720" w:num="1"/>
        </w:sectPr>
      </w:pPr>
    </w:p>
    <w:tbl>
      <w:tblPr>
        <w:tblStyle w:val="8"/>
        <w:tblW w:w="91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22"/>
        <w:gridCol w:w="34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37"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年聚氯乙烯树脂装置设计产能（吨）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（注：标明生产方法和产品型号）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年聚氯乙烯树脂总产量（吨）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（注：标明生产方法和产品型号）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年聚氯乙烯树脂单位产品综合能耗</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（千克标准煤/吨）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（注：标明生产方法和产品型号）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年甲烷氯化物装置设计产能（吨）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年甲烷氯化物总产量（吨）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年甲烷氯化物单位产品综合能耗</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（千克标准煤/吨）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（注：不同产品分别列出）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年草甘膦装置设计产能（吨）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（注：标明生产方法和产品型号）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年草甘膦总产量（吨）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（注：标明生产方法和产品型号）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jc w:val="center"/>
        </w:trPr>
        <w:tc>
          <w:tcPr>
            <w:tcW w:w="572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年草甘膦单位产品综合能耗</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（千克标准煤/吨）</w:t>
            </w:r>
          </w:p>
        </w:tc>
        <w:tc>
          <w:tcPr>
            <w:tcW w:w="342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（注：标明生产方法和产品型号）</w:t>
            </w:r>
          </w:p>
        </w:tc>
      </w:tr>
    </w:tbl>
    <w:p>
      <w:pPr>
        <w:spacing w:before="33"/>
        <w:ind w:left="357"/>
        <w:jc w:val="center"/>
        <w:rPr>
          <w:sz w:val="28"/>
        </w:rPr>
      </w:pPr>
      <w:r>
        <w:rPr>
          <w:spacing w:val="-5"/>
          <w:sz w:val="28"/>
        </w:rPr>
        <w:t>填报人：填报负责人：单位负责人：填报日期：年月日</w:t>
      </w:r>
    </w:p>
    <w:p>
      <w:pPr>
        <w:jc w:val="center"/>
        <w:rPr>
          <w:sz w:val="28"/>
        </w:rPr>
        <w:sectPr>
          <w:type w:val="continuous"/>
          <w:pgSz w:w="11910" w:h="16840"/>
          <w:pgMar w:top="1400" w:right="1460" w:bottom="1960" w:left="1440" w:header="0" w:footer="1772" w:gutter="0"/>
          <w:cols w:space="720" w:num="1"/>
        </w:sectPr>
      </w:pPr>
    </w:p>
    <w:p>
      <w:pPr>
        <w:pStyle w:val="2"/>
        <w:tabs>
          <w:tab w:val="left" w:pos="3556"/>
        </w:tabs>
        <w:spacing w:before="1"/>
        <w:jc w:val="center"/>
        <w:rPr>
          <w:rFonts w:hint="eastAsia" w:ascii="黑体" w:hAnsi="黑体" w:eastAsia="黑体" w:cs="黑体"/>
          <w:color w:val="333333"/>
        </w:rPr>
      </w:pPr>
      <w:bookmarkStart w:id="1" w:name="表__1-2____________________烧碱产品生产线情况表"/>
      <w:bookmarkEnd w:id="1"/>
      <w:r>
        <w:rPr>
          <w:rFonts w:hint="eastAsia" w:ascii="黑体" w:hAnsi="黑体" w:eastAsia="黑体" w:cs="黑体"/>
          <w:color w:val="333333"/>
        </w:rPr>
        <w:t>表1-2</w:t>
      </w:r>
      <w:r>
        <w:rPr>
          <w:rFonts w:hint="eastAsia" w:ascii="黑体" w:hAnsi="黑体" w:eastAsia="黑体" w:cs="黑体"/>
          <w:color w:val="333333"/>
          <w:lang w:val="en-US" w:eastAsia="zh-CN"/>
        </w:rPr>
        <w:t xml:space="preserve"> </w:t>
      </w:r>
      <w:r>
        <w:rPr>
          <w:rFonts w:hint="eastAsia" w:ascii="黑体" w:hAnsi="黑体" w:eastAsia="黑体" w:cs="黑体"/>
          <w:color w:val="333333"/>
        </w:rPr>
        <w:t>烧碱产品生产线情况表</w:t>
      </w:r>
    </w:p>
    <w:p>
      <w:pPr>
        <w:tabs>
          <w:tab w:val="left" w:pos="11209"/>
        </w:tabs>
        <w:spacing w:before="146"/>
        <w:ind w:left="428"/>
        <w:jc w:val="center"/>
        <w:rPr>
          <w:sz w:val="28"/>
        </w:rPr>
      </w:pPr>
      <w:r>
        <w:rPr>
          <w:spacing w:val="-2"/>
          <w:sz w:val="28"/>
        </w:rPr>
        <w:t>企业名称（盖章</w:t>
      </w:r>
      <w:r>
        <w:rPr>
          <w:spacing w:val="-10"/>
          <w:sz w:val="28"/>
        </w:rPr>
        <w:t>）</w:t>
      </w:r>
      <w:r>
        <w:rPr>
          <w:sz w:val="28"/>
        </w:rPr>
        <w:tab/>
      </w:r>
      <w:r>
        <w:rPr>
          <w:spacing w:val="-2"/>
          <w:sz w:val="28"/>
        </w:rPr>
        <w:t>核查年度</w:t>
      </w:r>
      <w:r>
        <w:rPr>
          <w:spacing w:val="-10"/>
          <w:sz w:val="28"/>
        </w:rPr>
        <w:t>：</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1"/>
        <w:gridCol w:w="1701"/>
        <w:gridCol w:w="1984"/>
        <w:gridCol w:w="1134"/>
        <w:gridCol w:w="1134"/>
        <w:gridCol w:w="1418"/>
        <w:gridCol w:w="1276"/>
        <w:gridCol w:w="1275"/>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序号</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产品名称</w:t>
            </w: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生产线</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名称</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建设日期</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生产规模</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（吨）</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年设计产能</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（吨）</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是否符合相关要求</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（注）</w:t>
            </w: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产品产量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（吨）</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单位产品</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综合能耗</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（kgce/t）</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电解单元</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交流电耗</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（kW·h/t）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1</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氯碱</w:t>
            </w: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离子膜法</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2</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聚氯乙烯</w:t>
            </w: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电石法</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3</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甲烷氯化物</w:t>
            </w: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甲烷热氯化法</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1"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4</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草甘膦</w:t>
            </w: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甘氨酸法</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合计</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jc w:val="center"/>
        </w:trPr>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备注</w:t>
            </w:r>
          </w:p>
        </w:tc>
        <w:tc>
          <w:tcPr>
            <w:tcW w:w="13324" w:type="dxa"/>
            <w:gridSpan w:val="9"/>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项目建设日期与规模应符合《产业结构调整指导目录》要求；氯碱产量折100%计算。</w:t>
            </w:r>
          </w:p>
        </w:tc>
      </w:tr>
    </w:tbl>
    <w:p>
      <w:pPr>
        <w:tabs>
          <w:tab w:val="left" w:pos="3090"/>
          <w:tab w:val="left" w:pos="6308"/>
          <w:tab w:val="left" w:pos="10088"/>
          <w:tab w:val="left" w:pos="11910"/>
        </w:tabs>
        <w:spacing w:before="11"/>
        <w:ind w:left="428"/>
        <w:jc w:val="center"/>
        <w:rPr>
          <w:sz w:val="28"/>
        </w:rPr>
      </w:pPr>
      <w:r>
        <w:rPr>
          <w:spacing w:val="-2"/>
          <w:sz w:val="28"/>
        </w:rPr>
        <w:t>填报人</w:t>
      </w:r>
      <w:r>
        <w:rPr>
          <w:spacing w:val="-10"/>
          <w:sz w:val="28"/>
        </w:rPr>
        <w:t>：</w:t>
      </w:r>
      <w:r>
        <w:rPr>
          <w:sz w:val="28"/>
        </w:rPr>
        <w:tab/>
      </w:r>
      <w:r>
        <w:rPr>
          <w:spacing w:val="-2"/>
          <w:sz w:val="28"/>
        </w:rPr>
        <w:t>填报负责人</w:t>
      </w:r>
      <w:r>
        <w:rPr>
          <w:spacing w:val="-10"/>
          <w:sz w:val="28"/>
        </w:rPr>
        <w:t>：</w:t>
      </w:r>
      <w:r>
        <w:rPr>
          <w:sz w:val="28"/>
        </w:rPr>
        <w:tab/>
      </w:r>
      <w:r>
        <w:rPr>
          <w:spacing w:val="-2"/>
          <w:sz w:val="28"/>
        </w:rPr>
        <w:t>单位负责人</w:t>
      </w:r>
      <w:r>
        <w:rPr>
          <w:spacing w:val="-10"/>
          <w:sz w:val="28"/>
        </w:rPr>
        <w:t>：</w:t>
      </w:r>
      <w:r>
        <w:rPr>
          <w:sz w:val="28"/>
        </w:rPr>
        <w:tab/>
      </w:r>
      <w:r>
        <w:rPr>
          <w:spacing w:val="-2"/>
          <w:sz w:val="28"/>
        </w:rPr>
        <w:t>填报日期</w:t>
      </w:r>
      <w:r>
        <w:rPr>
          <w:spacing w:val="-10"/>
          <w:sz w:val="28"/>
        </w:rPr>
        <w:t>：</w:t>
      </w:r>
      <w:r>
        <w:rPr>
          <w:sz w:val="28"/>
        </w:rPr>
        <w:tab/>
      </w:r>
      <w:r>
        <w:rPr>
          <w:sz w:val="28"/>
        </w:rPr>
        <w:t>年月</w:t>
      </w:r>
      <w:r>
        <w:rPr>
          <w:spacing w:val="-10"/>
          <w:sz w:val="28"/>
        </w:rPr>
        <w:t>日</w:t>
      </w:r>
    </w:p>
    <w:p>
      <w:pPr>
        <w:jc w:val="center"/>
        <w:rPr>
          <w:sz w:val="28"/>
        </w:rPr>
        <w:sectPr>
          <w:footerReference r:id="rId4" w:type="default"/>
          <w:pgSz w:w="16840" w:h="11910" w:orient="landscape"/>
          <w:pgMar w:top="1340" w:right="1100" w:bottom="1960" w:left="1220" w:header="0" w:footer="1767" w:gutter="0"/>
          <w:cols w:space="720" w:num="1"/>
        </w:sectPr>
      </w:pPr>
    </w:p>
    <w:p>
      <w:pPr>
        <w:pStyle w:val="2"/>
        <w:tabs>
          <w:tab w:val="left" w:pos="3556"/>
        </w:tabs>
        <w:spacing w:before="1"/>
        <w:jc w:val="center"/>
        <w:rPr>
          <w:rFonts w:hint="eastAsia" w:ascii="黑体" w:hAnsi="黑体" w:eastAsia="黑体" w:cs="黑体"/>
          <w:color w:val="333333"/>
        </w:rPr>
      </w:pPr>
      <w:bookmarkStart w:id="2" w:name="表__1-3________________企业-------产品主要用能设备情"/>
      <w:bookmarkEnd w:id="2"/>
      <w:r>
        <w:rPr>
          <w:rFonts w:hint="eastAsia" w:ascii="黑体" w:hAnsi="黑体" w:eastAsia="黑体" w:cs="黑体"/>
          <w:color w:val="333333"/>
        </w:rPr>
        <w:t>表1-3</w:t>
      </w:r>
      <w:r>
        <w:rPr>
          <w:rFonts w:hint="eastAsia" w:ascii="黑体" w:hAnsi="黑体" w:eastAsia="黑体" w:cs="黑体"/>
          <w:color w:val="333333"/>
          <w:lang w:val="en-US" w:eastAsia="zh-CN"/>
        </w:rPr>
        <w:t xml:space="preserve"> </w:t>
      </w:r>
      <w:r>
        <w:rPr>
          <w:rFonts w:hint="eastAsia" w:ascii="黑体" w:hAnsi="黑体" w:eastAsia="黑体" w:cs="黑体"/>
          <w:color w:val="333333"/>
        </w:rPr>
        <w:t>企业</w:t>
      </w:r>
      <w:r>
        <w:rPr>
          <w:rFonts w:hint="eastAsia" w:ascii="黑体" w:hAnsi="黑体" w:eastAsia="黑体" w:cs="黑体"/>
          <w:color w:val="333333"/>
          <w:u w:val="single"/>
          <w:lang w:val="en-US" w:eastAsia="zh-CN"/>
        </w:rPr>
        <w:t xml:space="preserve">   </w:t>
      </w:r>
      <w:r>
        <w:rPr>
          <w:rFonts w:hint="eastAsia" w:ascii="黑体" w:hAnsi="黑体" w:eastAsia="黑体" w:cs="黑体"/>
          <w:color w:val="333333"/>
        </w:rPr>
        <w:t>产品主要用能设备情况表</w:t>
      </w:r>
    </w:p>
    <w:p>
      <w:pPr>
        <w:tabs>
          <w:tab w:val="left" w:pos="10650"/>
        </w:tabs>
        <w:spacing w:before="146"/>
        <w:ind w:left="428"/>
        <w:jc w:val="center"/>
        <w:rPr>
          <w:sz w:val="28"/>
        </w:rPr>
      </w:pPr>
      <w:r>
        <w:rPr>
          <w:spacing w:val="-2"/>
          <w:sz w:val="28"/>
        </w:rPr>
        <w:t>企业名称（盖章</w:t>
      </w:r>
      <w:r>
        <w:rPr>
          <w:spacing w:val="-10"/>
          <w:sz w:val="28"/>
        </w:rPr>
        <w:t>）</w:t>
      </w:r>
      <w:r>
        <w:rPr>
          <w:sz w:val="28"/>
        </w:rPr>
        <w:tab/>
      </w:r>
      <w:r>
        <w:rPr>
          <w:spacing w:val="-2"/>
          <w:sz w:val="28"/>
        </w:rPr>
        <w:t>核查年度</w:t>
      </w:r>
      <w:r>
        <w:rPr>
          <w:spacing w:val="-10"/>
          <w:sz w:val="28"/>
        </w:rPr>
        <w:t>：</w:t>
      </w:r>
    </w:p>
    <w:tbl>
      <w:tblPr>
        <w:tblStyle w:val="8"/>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701"/>
        <w:gridCol w:w="1701"/>
        <w:gridCol w:w="851"/>
        <w:gridCol w:w="1276"/>
        <w:gridCol w:w="1275"/>
        <w:gridCol w:w="851"/>
        <w:gridCol w:w="1134"/>
        <w:gridCol w:w="1417"/>
        <w:gridCol w:w="993"/>
        <w:gridCol w:w="1134"/>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序号</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产品名称</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设备名称</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规格</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型号</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设备</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数量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（台套）</w:t>
            </w: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年运行</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时间</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（小时）</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所在</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工序</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配套电机数量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（台）</w:t>
            </w: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配套电机</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总功率</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（kW）</w:t>
            </w: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是否</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属于</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淘汰</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能效是否符合</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要求</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1</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氯碱</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电解槽</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2</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1</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聚氯乙烯</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聚合釜</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2</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1</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甲烷氯化物</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裂解反应器</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2</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1</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草甘膦</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离心机</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2</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6"/>
              </w:rPr>
            </w:pPr>
          </w:p>
        </w:tc>
      </w:tr>
    </w:tbl>
    <w:p>
      <w:pPr>
        <w:tabs>
          <w:tab w:val="left" w:pos="3510"/>
          <w:tab w:val="left" w:pos="7009"/>
          <w:tab w:val="left" w:pos="9949"/>
          <w:tab w:val="left" w:pos="11768"/>
        </w:tabs>
        <w:spacing w:before="13"/>
        <w:ind w:left="428"/>
        <w:jc w:val="center"/>
        <w:rPr>
          <w:sz w:val="28"/>
        </w:rPr>
      </w:pPr>
      <w:r>
        <w:rPr>
          <w:spacing w:val="-2"/>
          <w:sz w:val="28"/>
        </w:rPr>
        <w:t>填报人</w:t>
      </w:r>
      <w:r>
        <w:rPr>
          <w:spacing w:val="-10"/>
          <w:sz w:val="28"/>
        </w:rPr>
        <w:t>：</w:t>
      </w:r>
      <w:r>
        <w:rPr>
          <w:sz w:val="28"/>
        </w:rPr>
        <w:tab/>
      </w:r>
      <w:r>
        <w:rPr>
          <w:spacing w:val="-2"/>
          <w:sz w:val="28"/>
        </w:rPr>
        <w:t>填报负责人</w:t>
      </w:r>
      <w:r>
        <w:rPr>
          <w:spacing w:val="-10"/>
          <w:sz w:val="28"/>
        </w:rPr>
        <w:t>：</w:t>
      </w:r>
      <w:r>
        <w:rPr>
          <w:sz w:val="28"/>
        </w:rPr>
        <w:tab/>
      </w:r>
      <w:r>
        <w:rPr>
          <w:spacing w:val="-2"/>
          <w:sz w:val="28"/>
        </w:rPr>
        <w:t>单位负责人</w:t>
      </w:r>
      <w:r>
        <w:rPr>
          <w:spacing w:val="-10"/>
          <w:sz w:val="28"/>
        </w:rPr>
        <w:t>：</w:t>
      </w:r>
      <w:r>
        <w:rPr>
          <w:sz w:val="28"/>
        </w:rPr>
        <w:tab/>
      </w:r>
      <w:r>
        <w:rPr>
          <w:spacing w:val="-2"/>
          <w:sz w:val="28"/>
        </w:rPr>
        <w:t>填报日期</w:t>
      </w:r>
      <w:r>
        <w:rPr>
          <w:spacing w:val="-10"/>
          <w:sz w:val="28"/>
        </w:rPr>
        <w:t>：</w:t>
      </w:r>
      <w:r>
        <w:rPr>
          <w:sz w:val="28"/>
        </w:rPr>
        <w:tab/>
      </w:r>
      <w:r>
        <w:rPr>
          <w:sz w:val="28"/>
        </w:rPr>
        <w:t>年月</w:t>
      </w:r>
      <w:r>
        <w:rPr>
          <w:spacing w:val="-10"/>
          <w:sz w:val="28"/>
        </w:rPr>
        <w:t>日</w:t>
      </w:r>
    </w:p>
    <w:p>
      <w:pPr>
        <w:jc w:val="center"/>
        <w:rPr>
          <w:sz w:val="28"/>
        </w:rPr>
        <w:sectPr>
          <w:pgSz w:w="16840" w:h="11910" w:orient="landscape"/>
          <w:pgMar w:top="1340" w:right="1100" w:bottom="1960" w:left="1220" w:header="0" w:footer="1767" w:gutter="0"/>
          <w:cols w:space="720" w:num="1"/>
        </w:sectPr>
      </w:pPr>
    </w:p>
    <w:p>
      <w:pPr>
        <w:pStyle w:val="2"/>
        <w:tabs>
          <w:tab w:val="left" w:pos="3556"/>
        </w:tabs>
        <w:spacing w:before="1"/>
        <w:jc w:val="center"/>
        <w:rPr>
          <w:rFonts w:hint="eastAsia" w:ascii="黑体" w:hAnsi="黑体" w:eastAsia="黑体" w:cs="黑体"/>
          <w:color w:val="333333"/>
        </w:rPr>
      </w:pPr>
      <w:bookmarkStart w:id="3" w:name="表_1-4____________________烧碱产品综合能耗情况表"/>
      <w:bookmarkEnd w:id="3"/>
      <w:r>
        <w:rPr>
          <w:rFonts w:hint="eastAsia" w:ascii="黑体" w:hAnsi="黑体" w:eastAsia="黑体" w:cs="黑体"/>
          <w:color w:val="333333"/>
        </w:rPr>
        <w:t>表1-4</w:t>
      </w:r>
      <w:r>
        <w:rPr>
          <w:rFonts w:hint="eastAsia" w:ascii="黑体" w:hAnsi="黑体" w:eastAsia="黑体" w:cs="黑体"/>
          <w:color w:val="333333"/>
          <w:lang w:val="en-US" w:eastAsia="zh-CN"/>
        </w:rPr>
        <w:t xml:space="preserve"> </w:t>
      </w:r>
      <w:r>
        <w:rPr>
          <w:rFonts w:hint="eastAsia" w:ascii="黑体" w:hAnsi="黑体" w:eastAsia="黑体" w:cs="黑体"/>
          <w:color w:val="333333"/>
        </w:rPr>
        <w:t>烧碱产品综合能耗情况表</w:t>
      </w:r>
    </w:p>
    <w:p>
      <w:pPr>
        <w:tabs>
          <w:tab w:val="left" w:pos="10789"/>
        </w:tabs>
        <w:ind w:left="428"/>
        <w:jc w:val="center"/>
        <w:rPr>
          <w:sz w:val="28"/>
        </w:rPr>
      </w:pPr>
      <w:r>
        <w:rPr>
          <w:spacing w:val="-2"/>
          <w:sz w:val="28"/>
        </w:rPr>
        <w:t>企业名称（盖章</w:t>
      </w:r>
      <w:r>
        <w:rPr>
          <w:spacing w:val="-10"/>
          <w:sz w:val="28"/>
        </w:rPr>
        <w:t>）</w:t>
      </w:r>
      <w:r>
        <w:rPr>
          <w:sz w:val="28"/>
        </w:rPr>
        <w:tab/>
      </w:r>
      <w:r>
        <w:rPr>
          <w:spacing w:val="-2"/>
          <w:sz w:val="28"/>
        </w:rPr>
        <w:t>核查年度</w:t>
      </w:r>
      <w:r>
        <w:rPr>
          <w:spacing w:val="-10"/>
          <w:sz w:val="28"/>
        </w:rPr>
        <w:t>：</w:t>
      </w:r>
    </w:p>
    <w:tbl>
      <w:tblPr>
        <w:tblStyle w:val="8"/>
        <w:tblW w:w="0" w:type="auto"/>
        <w:tblInd w:w="1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02"/>
        <w:gridCol w:w="1275"/>
        <w:gridCol w:w="1336"/>
        <w:gridCol w:w="1134"/>
        <w:gridCol w:w="2551"/>
        <w:gridCol w:w="1418"/>
        <w:gridCol w:w="992"/>
        <w:gridCol w:w="1074"/>
        <w:gridCol w:w="851"/>
        <w:gridCol w:w="850"/>
        <w:gridCol w:w="8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产品名称及规格</w:t>
            </w: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实际产量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（吨）</w:t>
            </w:r>
          </w:p>
        </w:tc>
        <w:tc>
          <w:tcPr>
            <w:tcW w:w="133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设计产量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（吨）</w:t>
            </w: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用能</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单元</w:t>
            </w: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消耗能源品种</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计量单位</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总量</w:t>
            </w: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直接</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消耗量</w:t>
            </w: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分摊量</w:t>
            </w: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折标</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系数</w:t>
            </w: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例如：</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离子膜法液碱</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≥30.0%</w:t>
            </w:r>
          </w:p>
        </w:tc>
        <w:tc>
          <w:tcPr>
            <w:tcW w:w="1275"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336"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134"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烧碱电解单元</w:t>
            </w: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电力</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万千瓦时</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其中电解用电</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动力电</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蒸汽</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吨</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天然气或氢燃料</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吨</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7736" w:type="dxa"/>
            <w:gridSpan w:val="6"/>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输出能源品种</w:t>
            </w: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蒸汽</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百万千焦</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电解单元综合能耗</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吨标准煤</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restart"/>
            <w:tcBorders>
              <w:bottom w:val="nil"/>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例如：</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离子膜法液碱</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≥30.0%</w:t>
            </w:r>
          </w:p>
        </w:tc>
        <w:tc>
          <w:tcPr>
            <w:tcW w:w="1275" w:type="dxa"/>
            <w:vMerge w:val="restart"/>
            <w:tcBorders>
              <w:bottom w:val="nil"/>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336" w:type="dxa"/>
            <w:vMerge w:val="restart"/>
            <w:tcBorders>
              <w:bottom w:val="nil"/>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134" w:type="dxa"/>
            <w:vMerge w:val="restart"/>
            <w:tcBorders>
              <w:bottom w:val="nil"/>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烧碱加工过程</w:t>
            </w: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电力</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万千瓦时</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蒸汽</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百万千焦</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336"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134"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restart"/>
            <w:tcBorders>
              <w:top w:val="nil"/>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275" w:type="dxa"/>
            <w:vMerge w:val="restart"/>
            <w:tcBorders>
              <w:top w:val="nil"/>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336" w:type="dxa"/>
            <w:vMerge w:val="restart"/>
            <w:tcBorders>
              <w:top w:val="nil"/>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134" w:type="dxa"/>
            <w:vMerge w:val="restart"/>
            <w:tcBorders>
              <w:top w:val="nil"/>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7736" w:type="dxa"/>
            <w:gridSpan w:val="6"/>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输出能源品种</w:t>
            </w: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蒸汽</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百万千焦</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2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3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113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加工过程综合能耗</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吨标准煤</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合计</w:t>
            </w: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336"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单位产品综合能耗</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吨标准煤</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02"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其中</w:t>
            </w:r>
          </w:p>
        </w:tc>
        <w:tc>
          <w:tcPr>
            <w:tcW w:w="1275"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336"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13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电解单元交流电耗</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4"/>
              </w:rPr>
            </w:pPr>
            <w:r>
              <w:rPr>
                <w:spacing w:val="0"/>
                <w:sz w:val="24"/>
              </w:rPr>
              <w:t>千瓦时/吨</w:t>
            </w:r>
          </w:p>
        </w:tc>
        <w:tc>
          <w:tcPr>
            <w:tcW w:w="992"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107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5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c>
          <w:tcPr>
            <w:tcW w:w="894"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6"/>
              </w:rPr>
            </w:pPr>
          </w:p>
        </w:tc>
      </w:tr>
    </w:tbl>
    <w:p>
      <w:pPr>
        <w:tabs>
          <w:tab w:val="left" w:pos="4129"/>
          <w:tab w:val="left" w:pos="8108"/>
          <w:tab w:val="left" w:pos="10827"/>
        </w:tabs>
        <w:spacing w:before="62" w:line="312" w:lineRule="auto"/>
        <w:ind w:left="700" w:right="332" w:hanging="272"/>
        <w:jc w:val="center"/>
        <w:rPr>
          <w:rFonts w:hint="eastAsia"/>
          <w:sz w:val="28"/>
          <w:lang w:val="en-US" w:eastAsia="zh-CN"/>
        </w:rPr>
      </w:pPr>
      <w:bookmarkStart w:id="4" w:name="表__1-5_______________------产品综合能耗情况表"/>
      <w:bookmarkEnd w:id="4"/>
      <w:r>
        <w:rPr>
          <w:spacing w:val="-4"/>
          <w:sz w:val="28"/>
        </w:rPr>
        <w:t>填报人：</w:t>
      </w:r>
      <w:r>
        <w:rPr>
          <w:sz w:val="28"/>
        </w:rPr>
        <w:tab/>
      </w:r>
      <w:r>
        <w:rPr>
          <w:spacing w:val="-2"/>
          <w:sz w:val="28"/>
        </w:rPr>
        <w:t>填报负责人：</w:t>
      </w:r>
      <w:r>
        <w:rPr>
          <w:sz w:val="28"/>
        </w:rPr>
        <w:tab/>
      </w:r>
      <w:r>
        <w:rPr>
          <w:spacing w:val="-2"/>
          <w:sz w:val="28"/>
        </w:rPr>
        <w:t>单位负责人：</w:t>
      </w:r>
      <w:r>
        <w:rPr>
          <w:sz w:val="28"/>
        </w:rPr>
        <w:tab/>
      </w:r>
      <w:r>
        <w:rPr>
          <w:sz w:val="28"/>
        </w:rPr>
        <w:t>填报时间：年月日</w:t>
      </w:r>
    </w:p>
    <w:p>
      <w:pPr>
        <w:keepNext w:val="0"/>
        <w:keepLines w:val="0"/>
        <w:pageBreakBefore w:val="0"/>
        <w:widowControl w:val="0"/>
        <w:tabs>
          <w:tab w:val="left" w:pos="4129"/>
          <w:tab w:val="left" w:pos="8108"/>
          <w:tab w:val="left" w:pos="10827"/>
        </w:tabs>
        <w:kinsoku/>
        <w:wordWrap/>
        <w:overflowPunct w:val="0"/>
        <w:topLinePunct w:val="0"/>
        <w:autoSpaceDE/>
        <w:autoSpaceDN/>
        <w:bidi w:val="0"/>
        <w:adjustRightInd/>
        <w:snapToGrid/>
        <w:spacing w:line="600" w:lineRule="exact"/>
        <w:ind w:left="0" w:leftChars="0" w:right="0" w:firstLine="0" w:firstLineChars="0"/>
        <w:jc w:val="both"/>
        <w:textAlignment w:val="auto"/>
        <w:rPr>
          <w:sz w:val="28"/>
        </w:rPr>
      </w:pPr>
      <w:r>
        <w:rPr>
          <w:spacing w:val="-1"/>
          <w:sz w:val="28"/>
        </w:rPr>
        <w:t>注：1.本表可复制，每个产品对应一张表。按照GB</w:t>
      </w:r>
      <w:r>
        <w:rPr>
          <w:spacing w:val="-62"/>
          <w:sz w:val="28"/>
        </w:rPr>
        <w:t xml:space="preserve"> </w:t>
      </w:r>
      <w:r>
        <w:rPr>
          <w:spacing w:val="-1"/>
          <w:sz w:val="28"/>
        </w:rPr>
        <w:t>209中离子膜法液碱≥30.0%，离子膜法液碱≥45.0%，离</w:t>
      </w:r>
      <w:r>
        <w:rPr>
          <w:spacing w:val="-10"/>
          <w:sz w:val="28"/>
        </w:rPr>
        <w:t>子</w:t>
      </w:r>
      <w:r>
        <w:rPr>
          <w:spacing w:val="-4"/>
          <w:sz w:val="28"/>
        </w:rPr>
        <w:t>膜法固碱≥98.0%；隔膜法液碱≥30.0%，隔膜法液碱≥42.0%，隔膜法固碱≥95.0</w:t>
      </w:r>
      <w:r>
        <w:rPr>
          <w:spacing w:val="-11"/>
          <w:sz w:val="28"/>
        </w:rPr>
        <w:t>%分别统计产品产量</w:t>
      </w:r>
      <w:r>
        <w:rPr>
          <w:spacing w:val="-4"/>
          <w:sz w:val="28"/>
        </w:rPr>
        <w:t>（折</w:t>
      </w:r>
      <w:r>
        <w:rPr>
          <w:spacing w:val="-2"/>
          <w:sz w:val="28"/>
        </w:rPr>
        <w:t>百）和核算各单位产品综合能耗。</w:t>
      </w:r>
    </w:p>
    <w:p>
      <w:pPr>
        <w:pStyle w:val="9"/>
        <w:keepNext w:val="0"/>
        <w:keepLines w:val="0"/>
        <w:pageBreakBefore w:val="0"/>
        <w:widowControl w:val="0"/>
        <w:numPr>
          <w:numId w:val="0"/>
        </w:numPr>
        <w:tabs>
          <w:tab w:val="left" w:pos="1584"/>
        </w:tabs>
        <w:kinsoku/>
        <w:wordWrap/>
        <w:overflowPunct w:val="0"/>
        <w:topLinePunct w:val="0"/>
        <w:autoSpaceDE/>
        <w:autoSpaceDN/>
        <w:bidi w:val="0"/>
        <w:adjustRightInd/>
        <w:snapToGrid/>
        <w:spacing w:line="600" w:lineRule="exact"/>
        <w:ind w:leftChars="0" w:right="0" w:rightChars="0" w:firstLine="0" w:firstLineChars="0"/>
        <w:jc w:val="both"/>
        <w:textAlignment w:val="auto"/>
        <w:rPr>
          <w:sz w:val="28"/>
        </w:rPr>
      </w:pPr>
      <w:r>
        <w:rPr>
          <w:rFonts w:hint="eastAsia"/>
          <w:spacing w:val="-3"/>
          <w:sz w:val="28"/>
          <w:lang w:val="en-US" w:eastAsia="zh-CN"/>
        </w:rPr>
        <w:t>2.</w:t>
      </w:r>
      <w:r>
        <w:rPr>
          <w:spacing w:val="-3"/>
          <w:sz w:val="28"/>
        </w:rPr>
        <w:t>按照能耗限额标准规定的范围和边界。</w:t>
      </w:r>
    </w:p>
    <w:p>
      <w:pPr>
        <w:pStyle w:val="9"/>
        <w:keepNext w:val="0"/>
        <w:keepLines w:val="0"/>
        <w:pageBreakBefore w:val="0"/>
        <w:widowControl w:val="0"/>
        <w:numPr>
          <w:numId w:val="0"/>
        </w:numPr>
        <w:tabs>
          <w:tab w:val="left" w:pos="1584"/>
        </w:tabs>
        <w:kinsoku/>
        <w:wordWrap/>
        <w:overflowPunct w:val="0"/>
        <w:topLinePunct w:val="0"/>
        <w:autoSpaceDE/>
        <w:autoSpaceDN/>
        <w:bidi w:val="0"/>
        <w:adjustRightInd/>
        <w:snapToGrid/>
        <w:spacing w:line="600" w:lineRule="exact"/>
        <w:ind w:leftChars="0" w:right="0" w:rightChars="0" w:firstLine="0" w:firstLineChars="0"/>
        <w:jc w:val="both"/>
        <w:textAlignment w:val="auto"/>
        <w:rPr>
          <w:sz w:val="28"/>
        </w:rPr>
      </w:pPr>
      <w:r>
        <w:rPr>
          <w:rFonts w:hint="eastAsia"/>
          <w:spacing w:val="-3"/>
          <w:sz w:val="28"/>
          <w:lang w:val="en-US" w:eastAsia="zh-CN"/>
        </w:rPr>
        <w:t>3.</w:t>
      </w:r>
      <w:r>
        <w:rPr>
          <w:spacing w:val="-3"/>
          <w:sz w:val="28"/>
        </w:rPr>
        <w:t>有大修、非正常停机等情况应注明。</w:t>
      </w:r>
    </w:p>
    <w:p>
      <w:pPr>
        <w:keepNext w:val="0"/>
        <w:keepLines w:val="0"/>
        <w:pageBreakBefore w:val="0"/>
        <w:widowControl w:val="0"/>
        <w:kinsoku/>
        <w:wordWrap/>
        <w:topLinePunct w:val="0"/>
        <w:bidi w:val="0"/>
        <w:adjustRightInd/>
        <w:snapToGrid/>
        <w:spacing w:line="600" w:lineRule="exact"/>
        <w:ind w:leftChars="0" w:firstLine="0" w:firstLineChars="0"/>
        <w:jc w:val="both"/>
        <w:textAlignment w:val="auto"/>
        <w:rPr>
          <w:sz w:val="28"/>
        </w:rPr>
        <w:sectPr>
          <w:pgSz w:w="16840" w:h="11910" w:orient="landscape"/>
          <w:pgMar w:top="1340" w:right="1100" w:bottom="1960" w:left="1220" w:header="0" w:footer="1767" w:gutter="0"/>
          <w:cols w:space="720" w:num="1"/>
        </w:sectPr>
      </w:pPr>
    </w:p>
    <w:p>
      <w:pPr>
        <w:pStyle w:val="2"/>
        <w:tabs>
          <w:tab w:val="left" w:pos="3556"/>
        </w:tabs>
        <w:spacing w:before="1"/>
        <w:jc w:val="center"/>
        <w:rPr>
          <w:rFonts w:hint="eastAsia" w:ascii="黑体" w:hAnsi="黑体" w:eastAsia="黑体" w:cs="黑体"/>
          <w:color w:val="333333"/>
        </w:rPr>
      </w:pPr>
      <w:r>
        <w:rPr>
          <w:rFonts w:hint="eastAsia" w:ascii="黑体" w:hAnsi="黑体" w:eastAsia="黑体" w:cs="黑体"/>
          <w:color w:val="333333"/>
        </w:rPr>
        <w:t>表1-5</w:t>
      </w:r>
      <w:r>
        <w:rPr>
          <w:rFonts w:hint="eastAsia" w:ascii="黑体" w:hAnsi="黑体" w:eastAsia="黑体" w:cs="黑体"/>
          <w:color w:val="333333"/>
          <w:lang w:val="en-US" w:eastAsia="zh-CN"/>
        </w:rPr>
        <w:t xml:space="preserve"> </w:t>
      </w:r>
      <w:r>
        <w:rPr>
          <w:rFonts w:hint="eastAsia" w:ascii="黑体" w:hAnsi="黑体" w:eastAsia="黑体" w:cs="黑体"/>
          <w:color w:val="333333"/>
        </w:rPr>
        <w:t>产品综合能耗情况表</w:t>
      </w:r>
    </w:p>
    <w:p>
      <w:pPr>
        <w:tabs>
          <w:tab w:val="left" w:pos="10928"/>
        </w:tabs>
        <w:ind w:left="570"/>
        <w:jc w:val="center"/>
        <w:rPr>
          <w:sz w:val="28"/>
        </w:rPr>
      </w:pPr>
      <w:r>
        <w:rPr>
          <w:spacing w:val="-2"/>
          <w:sz w:val="28"/>
        </w:rPr>
        <w:t>企业名称（盖章</w:t>
      </w:r>
      <w:r>
        <w:rPr>
          <w:spacing w:val="-10"/>
          <w:sz w:val="28"/>
        </w:rPr>
        <w:t>）</w:t>
      </w:r>
      <w:r>
        <w:rPr>
          <w:sz w:val="28"/>
        </w:rPr>
        <w:tab/>
      </w:r>
      <w:r>
        <w:rPr>
          <w:spacing w:val="-2"/>
          <w:sz w:val="28"/>
        </w:rPr>
        <w:t>核查年度</w:t>
      </w:r>
      <w:r>
        <w:rPr>
          <w:spacing w:val="-10"/>
          <w:sz w:val="28"/>
        </w:rPr>
        <w:t>：</w:t>
      </w:r>
    </w:p>
    <w:tbl>
      <w:tblPr>
        <w:tblStyle w:val="8"/>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18"/>
        <w:gridCol w:w="1559"/>
        <w:gridCol w:w="2835"/>
        <w:gridCol w:w="1656"/>
        <w:gridCol w:w="1057"/>
        <w:gridCol w:w="1210"/>
        <w:gridCol w:w="1057"/>
        <w:gridCol w:w="1213"/>
        <w:gridCol w:w="10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5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产品名称/生产线</w:t>
            </w: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实际产量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（吨）</w:t>
            </w:r>
          </w:p>
        </w:tc>
        <w:tc>
          <w:tcPr>
            <w:tcW w:w="283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消耗能源品种</w:t>
            </w:r>
          </w:p>
        </w:tc>
        <w:tc>
          <w:tcPr>
            <w:tcW w:w="165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计量单位</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总量</w:t>
            </w:r>
          </w:p>
        </w:tc>
        <w:tc>
          <w:tcPr>
            <w:tcW w:w="121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直接</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消耗量</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分摊量</w:t>
            </w:r>
          </w:p>
        </w:tc>
        <w:tc>
          <w:tcPr>
            <w:tcW w:w="121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折标</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系数</w:t>
            </w: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 w:hRule="atLeast"/>
        </w:trPr>
        <w:tc>
          <w:tcPr>
            <w:tcW w:w="2518"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例如：</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通用型聚氯乙烯/电石法</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或氯甲烷（二氯甲烷、三氯甲烷）/甲烷热氯化法（甲烷综合氯化法、甲醇氯化法）</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或草甘膦/甘氨酸法</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（IDA、IDAN）</w:t>
            </w:r>
          </w:p>
        </w:tc>
        <w:tc>
          <w:tcPr>
            <w:tcW w:w="1559"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283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电力</w:t>
            </w:r>
          </w:p>
        </w:tc>
        <w:tc>
          <w:tcPr>
            <w:tcW w:w="165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万千瓦时</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51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55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283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蒸汽</w:t>
            </w:r>
          </w:p>
        </w:tc>
        <w:tc>
          <w:tcPr>
            <w:tcW w:w="165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吨</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c>
          <w:tcPr>
            <w:tcW w:w="121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c>
          <w:tcPr>
            <w:tcW w:w="121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251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55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283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w:t>
            </w:r>
          </w:p>
        </w:tc>
        <w:tc>
          <w:tcPr>
            <w:tcW w:w="165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 w:hRule="atLeast"/>
        </w:trPr>
        <w:tc>
          <w:tcPr>
            <w:tcW w:w="251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55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9028" w:type="dxa"/>
            <w:gridSpan w:val="6"/>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输出能源品种</w:t>
            </w: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51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55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283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蒸汽</w:t>
            </w:r>
          </w:p>
        </w:tc>
        <w:tc>
          <w:tcPr>
            <w:tcW w:w="165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百万千焦</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251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55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283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w:t>
            </w:r>
          </w:p>
        </w:tc>
        <w:tc>
          <w:tcPr>
            <w:tcW w:w="165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51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55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283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生产综合能耗</w:t>
            </w:r>
          </w:p>
        </w:tc>
        <w:tc>
          <w:tcPr>
            <w:tcW w:w="165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吨标准煤</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c>
          <w:tcPr>
            <w:tcW w:w="121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c>
          <w:tcPr>
            <w:tcW w:w="121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5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合计</w:t>
            </w: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283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单位产品综合能耗</w:t>
            </w:r>
          </w:p>
        </w:tc>
        <w:tc>
          <w:tcPr>
            <w:tcW w:w="165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吨标准煤</w:t>
            </w: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0"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5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21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c>
          <w:tcPr>
            <w:tcW w:w="106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4"/>
              </w:rPr>
            </w:pPr>
          </w:p>
        </w:tc>
      </w:tr>
    </w:tbl>
    <w:p>
      <w:pPr>
        <w:keepNext w:val="0"/>
        <w:keepLines w:val="0"/>
        <w:pageBreakBefore w:val="0"/>
        <w:widowControl w:val="0"/>
        <w:tabs>
          <w:tab w:val="left" w:pos="3649"/>
          <w:tab w:val="left" w:pos="6870"/>
          <w:tab w:val="left" w:pos="10369"/>
          <w:tab w:val="left" w:pos="12188"/>
        </w:tabs>
        <w:kinsoku/>
        <w:wordWrap/>
        <w:overflowPunct w:val="0"/>
        <w:topLinePunct w:val="0"/>
        <w:autoSpaceDE/>
        <w:autoSpaceDN/>
        <w:bidi w:val="0"/>
        <w:adjustRightInd/>
        <w:snapToGrid/>
        <w:spacing w:line="240" w:lineRule="auto"/>
        <w:ind w:left="0" w:right="0" w:firstLine="544" w:firstLineChars="200"/>
        <w:jc w:val="center"/>
        <w:textAlignment w:val="auto"/>
        <w:rPr>
          <w:sz w:val="28"/>
        </w:rPr>
      </w:pPr>
      <w:r>
        <w:rPr>
          <w:spacing w:val="-4"/>
          <w:sz w:val="28"/>
        </w:rPr>
        <w:t>填报人：</w:t>
      </w:r>
      <w:r>
        <w:rPr>
          <w:sz w:val="28"/>
        </w:rPr>
        <w:tab/>
      </w:r>
      <w:r>
        <w:rPr>
          <w:spacing w:val="-2"/>
          <w:sz w:val="28"/>
        </w:rPr>
        <w:t>填报负责人：</w:t>
      </w:r>
      <w:r>
        <w:rPr>
          <w:sz w:val="28"/>
        </w:rPr>
        <w:tab/>
      </w:r>
      <w:r>
        <w:rPr>
          <w:spacing w:val="-2"/>
          <w:sz w:val="28"/>
        </w:rPr>
        <w:t>单位负责人：</w:t>
      </w:r>
      <w:r>
        <w:rPr>
          <w:sz w:val="28"/>
        </w:rPr>
        <w:tab/>
      </w:r>
      <w:r>
        <w:rPr>
          <w:spacing w:val="-2"/>
          <w:sz w:val="28"/>
        </w:rPr>
        <w:t>填报时间：</w:t>
      </w:r>
      <w:r>
        <w:rPr>
          <w:sz w:val="28"/>
        </w:rPr>
        <w:tab/>
      </w:r>
      <w:r>
        <w:rPr>
          <w:sz w:val="28"/>
        </w:rPr>
        <w:t>年月日注：</w:t>
      </w:r>
    </w:p>
    <w:p>
      <w:pPr>
        <w:keepNext w:val="0"/>
        <w:keepLines w:val="0"/>
        <w:pageBreakBefore w:val="0"/>
        <w:widowControl w:val="0"/>
        <w:tabs>
          <w:tab w:val="left" w:pos="3649"/>
          <w:tab w:val="left" w:pos="6870"/>
          <w:tab w:val="left" w:pos="10369"/>
          <w:tab w:val="left" w:pos="12188"/>
        </w:tabs>
        <w:kinsoku/>
        <w:wordWrap/>
        <w:overflowPunct w:val="0"/>
        <w:topLinePunct w:val="0"/>
        <w:autoSpaceDE/>
        <w:autoSpaceDN/>
        <w:bidi w:val="0"/>
        <w:adjustRightInd/>
        <w:snapToGrid/>
        <w:spacing w:line="240" w:lineRule="auto"/>
        <w:ind w:left="0" w:right="0" w:firstLine="560" w:firstLineChars="200"/>
        <w:jc w:val="left"/>
        <w:textAlignment w:val="auto"/>
        <w:rPr>
          <w:sz w:val="28"/>
        </w:rPr>
      </w:pPr>
      <w:r>
        <w:rPr>
          <w:rFonts w:hint="eastAsia"/>
          <w:sz w:val="28"/>
          <w:lang w:eastAsia="zh-CN"/>
        </w:rPr>
        <w:t>注：</w:t>
      </w:r>
      <w:r>
        <w:rPr>
          <w:sz w:val="28"/>
        </w:rPr>
        <w:t>1.本表可复制，每个产品对应一张表。按</w:t>
      </w:r>
      <w:r>
        <w:rPr>
          <w:spacing w:val="69"/>
          <w:sz w:val="28"/>
        </w:rPr>
        <w:t>照</w:t>
      </w:r>
      <w:r>
        <w:rPr>
          <w:sz w:val="28"/>
        </w:rPr>
        <w:t>GB分别统计产品产量和核算各单位产品综合能耗。</w:t>
      </w:r>
    </w:p>
    <w:p>
      <w:pPr>
        <w:keepNext w:val="0"/>
        <w:keepLines w:val="0"/>
        <w:pageBreakBefore w:val="0"/>
        <w:widowControl w:val="0"/>
        <w:tabs>
          <w:tab w:val="left" w:pos="3649"/>
          <w:tab w:val="left" w:pos="6870"/>
          <w:tab w:val="left" w:pos="10369"/>
          <w:tab w:val="left" w:pos="12188"/>
        </w:tabs>
        <w:kinsoku/>
        <w:wordWrap/>
        <w:overflowPunct w:val="0"/>
        <w:topLinePunct w:val="0"/>
        <w:autoSpaceDE/>
        <w:autoSpaceDN/>
        <w:bidi w:val="0"/>
        <w:adjustRightInd/>
        <w:snapToGrid/>
        <w:spacing w:line="240" w:lineRule="auto"/>
        <w:ind w:left="0" w:right="0" w:firstLine="560" w:firstLineChars="200"/>
        <w:jc w:val="left"/>
        <w:textAlignment w:val="auto"/>
        <w:rPr>
          <w:sz w:val="28"/>
        </w:rPr>
      </w:pPr>
      <w:r>
        <w:rPr>
          <w:rFonts w:hint="eastAsia"/>
          <w:sz w:val="28"/>
          <w:lang w:val="en-US" w:eastAsia="zh-CN"/>
        </w:rPr>
        <w:t>2.</w:t>
      </w:r>
      <w:r>
        <w:rPr>
          <w:sz w:val="28"/>
        </w:rPr>
        <w:t>按照能耗限额标准规定的范围和边界。</w:t>
      </w:r>
    </w:p>
    <w:p>
      <w:pPr>
        <w:keepNext w:val="0"/>
        <w:keepLines w:val="0"/>
        <w:pageBreakBefore w:val="0"/>
        <w:widowControl w:val="0"/>
        <w:tabs>
          <w:tab w:val="left" w:pos="3649"/>
          <w:tab w:val="left" w:pos="6870"/>
          <w:tab w:val="left" w:pos="10369"/>
          <w:tab w:val="left" w:pos="12188"/>
        </w:tabs>
        <w:kinsoku/>
        <w:wordWrap/>
        <w:overflowPunct w:val="0"/>
        <w:topLinePunct w:val="0"/>
        <w:autoSpaceDE/>
        <w:autoSpaceDN/>
        <w:bidi w:val="0"/>
        <w:adjustRightInd/>
        <w:snapToGrid/>
        <w:spacing w:line="240" w:lineRule="auto"/>
        <w:ind w:left="0" w:right="0" w:firstLine="560" w:firstLineChars="200"/>
        <w:jc w:val="left"/>
        <w:textAlignment w:val="auto"/>
        <w:rPr>
          <w:sz w:val="28"/>
        </w:rPr>
      </w:pPr>
      <w:r>
        <w:rPr>
          <w:rFonts w:hint="eastAsia"/>
          <w:sz w:val="28"/>
          <w:lang w:val="en-US" w:eastAsia="zh-CN"/>
        </w:rPr>
        <w:t>3.</w:t>
      </w:r>
      <w:r>
        <w:rPr>
          <w:sz w:val="28"/>
        </w:rPr>
        <w:t>有大修、非正常停机等情况应注明。</w:t>
      </w:r>
    </w:p>
    <w:p>
      <w:pPr>
        <w:keepNext w:val="0"/>
        <w:keepLines w:val="0"/>
        <w:pageBreakBefore w:val="0"/>
        <w:widowControl w:val="0"/>
        <w:tabs>
          <w:tab w:val="left" w:pos="3649"/>
          <w:tab w:val="left" w:pos="6870"/>
          <w:tab w:val="left" w:pos="10369"/>
          <w:tab w:val="left" w:pos="12188"/>
        </w:tabs>
        <w:kinsoku/>
        <w:wordWrap/>
        <w:overflowPunct w:val="0"/>
        <w:topLinePunct w:val="0"/>
        <w:autoSpaceDE/>
        <w:autoSpaceDN/>
        <w:bidi w:val="0"/>
        <w:adjustRightInd/>
        <w:snapToGrid/>
        <w:spacing w:line="240" w:lineRule="auto"/>
        <w:ind w:left="0" w:right="0" w:firstLine="560" w:firstLineChars="200"/>
        <w:jc w:val="center"/>
        <w:textAlignment w:val="auto"/>
        <w:rPr>
          <w:sz w:val="28"/>
        </w:rPr>
        <w:sectPr>
          <w:pgSz w:w="16840" w:h="11910" w:orient="landscape"/>
          <w:pgMar w:top="1340" w:right="1100" w:bottom="1960" w:left="1220" w:header="0" w:footer="1767" w:gutter="0"/>
          <w:cols w:space="720" w:num="1"/>
        </w:sectPr>
      </w:pPr>
    </w:p>
    <w:p>
      <w:pPr>
        <w:pStyle w:val="2"/>
        <w:tabs>
          <w:tab w:val="left" w:pos="3556"/>
        </w:tabs>
        <w:spacing w:before="1"/>
        <w:jc w:val="center"/>
        <w:rPr>
          <w:rFonts w:hint="eastAsia" w:ascii="黑体" w:hAnsi="黑体" w:eastAsia="黑体" w:cs="黑体"/>
          <w:color w:val="333333"/>
        </w:rPr>
      </w:pPr>
      <w:bookmarkStart w:id="5" w:name="表__1-6_______________烧碱单位产品能耗限额核算核对表"/>
      <w:bookmarkEnd w:id="5"/>
      <w:r>
        <w:rPr>
          <w:rFonts w:hint="eastAsia" w:ascii="黑体" w:hAnsi="黑体" w:eastAsia="黑体" w:cs="黑体"/>
          <w:color w:val="333333"/>
        </w:rPr>
        <w:t>表1-6</w:t>
      </w:r>
      <w:r>
        <w:rPr>
          <w:rFonts w:hint="eastAsia" w:ascii="黑体" w:hAnsi="黑体" w:eastAsia="黑体" w:cs="黑体"/>
          <w:color w:val="333333"/>
          <w:lang w:val="en-US" w:eastAsia="zh-CN"/>
        </w:rPr>
        <w:t xml:space="preserve"> </w:t>
      </w:r>
      <w:r>
        <w:rPr>
          <w:rFonts w:hint="eastAsia" w:ascii="黑体" w:hAnsi="黑体" w:eastAsia="黑体" w:cs="黑体"/>
          <w:color w:val="333333"/>
        </w:rPr>
        <w:t>烧碱单位产品能耗限额核算核对表</w:t>
      </w:r>
    </w:p>
    <w:p>
      <w:pPr>
        <w:tabs>
          <w:tab w:val="left" w:pos="10650"/>
        </w:tabs>
        <w:ind w:left="428"/>
        <w:jc w:val="center"/>
        <w:rPr>
          <w:sz w:val="28"/>
        </w:rPr>
      </w:pPr>
      <w:r>
        <w:rPr>
          <w:spacing w:val="-2"/>
          <w:sz w:val="28"/>
        </w:rPr>
        <w:t>企业名称（盖章</w:t>
      </w:r>
      <w:r>
        <w:rPr>
          <w:spacing w:val="-147"/>
          <w:sz w:val="28"/>
        </w:rPr>
        <w:t>）</w:t>
      </w:r>
      <w:r>
        <w:rPr>
          <w:spacing w:val="-5"/>
          <w:sz w:val="28"/>
        </w:rPr>
        <w:t>：</w:t>
      </w:r>
      <w:r>
        <w:rPr>
          <w:sz w:val="28"/>
        </w:rPr>
        <w:tab/>
      </w:r>
      <w:r>
        <w:rPr>
          <w:spacing w:val="-2"/>
          <w:sz w:val="28"/>
        </w:rPr>
        <w:t>核查年度</w:t>
      </w:r>
      <w:r>
        <w:rPr>
          <w:spacing w:val="-10"/>
          <w:sz w:val="28"/>
        </w:rPr>
        <w:t>：</w:t>
      </w:r>
    </w:p>
    <w:tbl>
      <w:tblPr>
        <w:tblStyle w:val="8"/>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4"/>
        <w:gridCol w:w="1187"/>
        <w:gridCol w:w="1559"/>
        <w:gridCol w:w="1276"/>
        <w:gridCol w:w="1418"/>
        <w:gridCol w:w="1984"/>
        <w:gridCol w:w="1418"/>
        <w:gridCol w:w="1417"/>
        <w:gridCol w:w="1560"/>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4" w:hRule="atLeast"/>
        </w:trPr>
        <w:tc>
          <w:tcPr>
            <w:tcW w:w="514"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序号</w:t>
            </w:r>
          </w:p>
        </w:tc>
        <w:tc>
          <w:tcPr>
            <w:tcW w:w="1187"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工艺分类</w:t>
            </w: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8"/>
              </w:rPr>
              <w:t>产品名称及规格</w:t>
            </w:r>
            <w:r>
              <w:rPr>
                <w:spacing w:val="0"/>
                <w:sz w:val="24"/>
              </w:rPr>
              <w:t>（质量分数）/%</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产品产量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（t）</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8"/>
              </w:rPr>
              <w:t>烧碱单位产品综合能耗</w:t>
            </w:r>
            <w:r>
              <w:rPr>
                <w:spacing w:val="0"/>
                <w:sz w:val="24"/>
              </w:rPr>
              <w:t>（kgce/t）</w:t>
            </w: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8"/>
              </w:rPr>
              <w:t>烧碱单位产品综合能耗限额限定值</w:t>
            </w:r>
            <w:r>
              <w:rPr>
                <w:spacing w:val="0"/>
                <w:sz w:val="24"/>
              </w:rPr>
              <w:t>（kgce/t）</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是否符合</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单位产品能耗限额标准</w:t>
            </w: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烧碱电解</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hanging="281"/>
              <w:jc w:val="center"/>
              <w:textAlignment w:val="auto"/>
              <w:rPr>
                <w:spacing w:val="0"/>
                <w:sz w:val="28"/>
              </w:rPr>
            </w:pPr>
            <w:r>
              <w:rPr>
                <w:spacing w:val="0"/>
                <w:sz w:val="28"/>
              </w:rPr>
              <w:t>单元交流电耗</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（kW·h/t）</w:t>
            </w:r>
          </w:p>
        </w:tc>
        <w:tc>
          <w:tcPr>
            <w:tcW w:w="1560"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烧碱电解单元交流电耗限额限定值</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4"/>
              </w:rPr>
            </w:pPr>
            <w:r>
              <w:rPr>
                <w:spacing w:val="0"/>
                <w:sz w:val="24"/>
              </w:rPr>
              <w:t>（kW·h/t）</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是否符合烧碱电解单元交流电耗限额标准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14"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1</w:t>
            </w:r>
          </w:p>
        </w:tc>
        <w:tc>
          <w:tcPr>
            <w:tcW w:w="1187"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离子膜法</w:t>
            </w: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液碱≥</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30.0</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≤375</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560"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≤2470</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1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18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液碱≥</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45.0</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≤500</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56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1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18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固碱≥</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98.0</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8"/>
              </w:rPr>
            </w:pPr>
            <w:r>
              <w:rPr>
                <w:spacing w:val="0"/>
                <w:sz w:val="28"/>
              </w:rPr>
              <w:t>≤800</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c>
          <w:tcPr>
            <w:tcW w:w="156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sz w:val="2"/>
                <w:szCs w:val="2"/>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14"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2</w:t>
            </w:r>
          </w:p>
        </w:tc>
        <w:tc>
          <w:tcPr>
            <w:tcW w:w="1187"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隔膜法</w:t>
            </w: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液碱≥</w:t>
            </w:r>
          </w:p>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30.0</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≤880</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560"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≤2530</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1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
                <w:szCs w:val="2"/>
              </w:rPr>
            </w:pPr>
          </w:p>
        </w:tc>
        <w:tc>
          <w:tcPr>
            <w:tcW w:w="118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
                <w:szCs w:val="2"/>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液碱≥</w:t>
            </w:r>
          </w:p>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42.0</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≤1100</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56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
                <w:szCs w:val="2"/>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1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
                <w:szCs w:val="2"/>
              </w:rPr>
            </w:pPr>
          </w:p>
        </w:tc>
        <w:tc>
          <w:tcPr>
            <w:tcW w:w="118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
                <w:szCs w:val="2"/>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固碱≥</w:t>
            </w:r>
          </w:p>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95.0</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984"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≤1200</w:t>
            </w:r>
          </w:p>
        </w:tc>
        <w:tc>
          <w:tcPr>
            <w:tcW w:w="1418"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417"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c>
          <w:tcPr>
            <w:tcW w:w="156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
                <w:szCs w:val="2"/>
              </w:rPr>
            </w:pP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spacing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701"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jc w:val="center"/>
              <w:textAlignment w:val="auto"/>
              <w:rPr>
                <w:spacing w:val="0"/>
                <w:sz w:val="28"/>
              </w:rPr>
            </w:pPr>
            <w:r>
              <w:rPr>
                <w:spacing w:val="0"/>
                <w:sz w:val="28"/>
              </w:rPr>
              <w:t>注意事项</w:t>
            </w:r>
          </w:p>
        </w:tc>
        <w:tc>
          <w:tcPr>
            <w:tcW w:w="12333" w:type="dxa"/>
            <w:gridSpan w:val="8"/>
            <w:vAlign w:val="center"/>
          </w:tcPr>
          <w:p>
            <w:pPr>
              <w:pStyle w:val="10"/>
              <w:keepNext w:val="0"/>
              <w:keepLines w:val="0"/>
              <w:pageBreakBefore w:val="0"/>
              <w:widowControl w:val="0"/>
              <w:numPr>
                <w:ilvl w:val="0"/>
                <w:numId w:val="0"/>
              </w:numPr>
              <w:tabs>
                <w:tab w:val="left" w:pos="469"/>
              </w:tabs>
              <w:kinsoku/>
              <w:wordWrap/>
              <w:overflowPunct w:val="0"/>
              <w:topLinePunct w:val="0"/>
              <w:autoSpaceDE/>
              <w:autoSpaceDN/>
              <w:bidi w:val="0"/>
              <w:adjustRightInd/>
              <w:snapToGrid/>
              <w:spacing w:line="240" w:lineRule="auto"/>
              <w:ind w:left="110" w:leftChars="50" w:right="0" w:rightChars="0"/>
              <w:jc w:val="both"/>
              <w:textAlignment w:val="auto"/>
              <w:rPr>
                <w:spacing w:val="0"/>
                <w:sz w:val="28"/>
              </w:rPr>
            </w:pPr>
            <w:r>
              <w:rPr>
                <w:rFonts w:hint="eastAsia"/>
                <w:spacing w:val="0"/>
                <w:sz w:val="28"/>
                <w:lang w:val="en-US" w:eastAsia="zh-CN"/>
              </w:rPr>
              <w:t>1.</w:t>
            </w:r>
            <w:r>
              <w:rPr>
                <w:spacing w:val="0"/>
                <w:sz w:val="28"/>
              </w:rPr>
              <w:t>产品名称及规格执行GB 209的规定。</w:t>
            </w:r>
          </w:p>
          <w:p>
            <w:pPr>
              <w:pStyle w:val="10"/>
              <w:keepNext w:val="0"/>
              <w:keepLines w:val="0"/>
              <w:pageBreakBefore w:val="0"/>
              <w:widowControl w:val="0"/>
              <w:numPr>
                <w:ilvl w:val="0"/>
                <w:numId w:val="0"/>
              </w:numPr>
              <w:tabs>
                <w:tab w:val="left" w:pos="390"/>
              </w:tabs>
              <w:kinsoku/>
              <w:wordWrap/>
              <w:overflowPunct w:val="0"/>
              <w:topLinePunct w:val="0"/>
              <w:autoSpaceDE/>
              <w:autoSpaceDN/>
              <w:bidi w:val="0"/>
              <w:adjustRightInd/>
              <w:snapToGrid/>
              <w:spacing w:line="240" w:lineRule="auto"/>
              <w:ind w:left="110" w:leftChars="50" w:right="0" w:rightChars="0"/>
              <w:jc w:val="both"/>
              <w:textAlignment w:val="auto"/>
              <w:rPr>
                <w:spacing w:val="0"/>
                <w:sz w:val="28"/>
              </w:rPr>
            </w:pPr>
            <w:r>
              <w:rPr>
                <w:rFonts w:hint="eastAsia"/>
                <w:spacing w:val="0"/>
                <w:sz w:val="28"/>
                <w:lang w:val="en-US" w:eastAsia="zh-CN"/>
              </w:rPr>
              <w:t>2.</w:t>
            </w:r>
            <w:r>
              <w:rPr>
                <w:spacing w:val="0"/>
                <w:sz w:val="28"/>
              </w:rPr>
              <w:t>表中隔膜法烧碱电解单元交流电耗限定值，是指金属阳极隔膜电解槽电流密度为1700A/m</w:t>
            </w:r>
            <w:r>
              <w:rPr>
                <w:spacing w:val="0"/>
                <w:position w:val="14"/>
                <w:sz w:val="14"/>
              </w:rPr>
              <w:t>2</w:t>
            </w:r>
            <w:r>
              <w:rPr>
                <w:spacing w:val="0"/>
                <w:sz w:val="28"/>
              </w:rPr>
              <w:t>的执行标准。当金属阳极电解槽电流密度变化时，电流密度每增减100A/m</w:t>
            </w:r>
            <w:r>
              <w:rPr>
                <w:spacing w:val="0"/>
                <w:position w:val="14"/>
                <w:sz w:val="14"/>
              </w:rPr>
              <w:t>2</w:t>
            </w:r>
            <w:r>
              <w:rPr>
                <w:spacing w:val="0"/>
                <w:sz w:val="28"/>
              </w:rPr>
              <w:t>，烧碱电解单元单位产品交流电耗减增44kW·h/t。</w:t>
            </w:r>
          </w:p>
          <w:p>
            <w:pPr>
              <w:pStyle w:val="10"/>
              <w:keepNext w:val="0"/>
              <w:keepLines w:val="0"/>
              <w:pageBreakBefore w:val="0"/>
              <w:widowControl w:val="0"/>
              <w:numPr>
                <w:ilvl w:val="0"/>
                <w:numId w:val="0"/>
              </w:numPr>
              <w:tabs>
                <w:tab w:val="left" w:pos="392"/>
              </w:tabs>
              <w:kinsoku/>
              <w:wordWrap/>
              <w:overflowPunct w:val="0"/>
              <w:topLinePunct w:val="0"/>
              <w:autoSpaceDE/>
              <w:autoSpaceDN/>
              <w:bidi w:val="0"/>
              <w:adjustRightInd/>
              <w:snapToGrid/>
              <w:spacing w:line="240" w:lineRule="auto"/>
              <w:ind w:left="110" w:leftChars="50" w:right="0" w:rightChars="0"/>
              <w:jc w:val="both"/>
              <w:textAlignment w:val="auto"/>
              <w:rPr>
                <w:spacing w:val="0"/>
                <w:sz w:val="28"/>
              </w:rPr>
            </w:pPr>
            <w:r>
              <w:rPr>
                <w:rFonts w:hint="eastAsia"/>
                <w:spacing w:val="0"/>
                <w:sz w:val="28"/>
                <w:lang w:val="en-US" w:eastAsia="zh-CN"/>
              </w:rPr>
              <w:t>3.</w:t>
            </w:r>
            <w:r>
              <w:rPr>
                <w:spacing w:val="0"/>
                <w:sz w:val="28"/>
              </w:rPr>
              <w:t>有多条生产线的按照产品名称及规格分类分别依次填写。</w:t>
            </w:r>
          </w:p>
        </w:tc>
      </w:tr>
    </w:tbl>
    <w:p>
      <w:pPr>
        <w:spacing w:line="358" w:lineRule="exact"/>
        <w:jc w:val="center"/>
        <w:rPr>
          <w:sz w:val="28"/>
        </w:rPr>
        <w:sectPr>
          <w:pgSz w:w="16840" w:h="11910" w:orient="landscape"/>
          <w:pgMar w:top="1340" w:right="1100" w:bottom="1960" w:left="1220" w:header="0" w:footer="1767" w:gutter="0"/>
          <w:cols w:space="720" w:num="1"/>
        </w:sectPr>
      </w:pPr>
    </w:p>
    <w:p>
      <w:pPr>
        <w:pStyle w:val="2"/>
        <w:tabs>
          <w:tab w:val="left" w:pos="3556"/>
        </w:tabs>
        <w:spacing w:before="1"/>
        <w:jc w:val="center"/>
        <w:rPr>
          <w:rFonts w:hint="eastAsia" w:ascii="黑体" w:hAnsi="黑体" w:eastAsia="黑体" w:cs="黑体"/>
          <w:color w:val="333333"/>
        </w:rPr>
      </w:pPr>
      <w:bookmarkStart w:id="6" w:name="表__1-7______________聚氯乙烯树脂单位产品能耗限额核算核对表"/>
      <w:bookmarkEnd w:id="6"/>
      <w:r>
        <w:rPr>
          <w:rFonts w:hint="eastAsia" w:ascii="黑体" w:hAnsi="黑体" w:eastAsia="黑体" w:cs="黑体"/>
          <w:color w:val="333333"/>
        </w:rPr>
        <w:t>表1-7</w:t>
      </w:r>
      <w:r>
        <w:rPr>
          <w:rFonts w:hint="eastAsia" w:ascii="黑体" w:hAnsi="黑体" w:eastAsia="黑体" w:cs="黑体"/>
          <w:color w:val="333333"/>
          <w:lang w:val="en-US" w:eastAsia="zh-CN"/>
        </w:rPr>
        <w:t xml:space="preserve"> </w:t>
      </w:r>
      <w:r>
        <w:rPr>
          <w:rFonts w:hint="eastAsia" w:ascii="黑体" w:hAnsi="黑体" w:eastAsia="黑体" w:cs="黑体"/>
          <w:color w:val="333333"/>
        </w:rPr>
        <w:t>聚氯乙烯树脂单位产品能耗限额核算核对表</w:t>
      </w:r>
    </w:p>
    <w:p>
      <w:pPr>
        <w:tabs>
          <w:tab w:val="left" w:pos="10508"/>
        </w:tabs>
        <w:ind w:left="428"/>
        <w:jc w:val="center"/>
        <w:rPr>
          <w:sz w:val="28"/>
        </w:rPr>
      </w:pPr>
      <w:r>
        <w:rPr>
          <w:spacing w:val="-2"/>
          <w:sz w:val="28"/>
        </w:rPr>
        <w:t>企业名称（盖章</w:t>
      </w:r>
      <w:r>
        <w:rPr>
          <w:spacing w:val="-147"/>
          <w:sz w:val="28"/>
        </w:rPr>
        <w:t>）</w:t>
      </w:r>
      <w:r>
        <w:rPr>
          <w:spacing w:val="-5"/>
          <w:sz w:val="28"/>
        </w:rPr>
        <w:t>：</w:t>
      </w:r>
      <w:r>
        <w:rPr>
          <w:sz w:val="28"/>
        </w:rPr>
        <w:tab/>
      </w:r>
      <w:r>
        <w:rPr>
          <w:spacing w:val="-2"/>
          <w:sz w:val="28"/>
        </w:rPr>
        <w:t>核查年度</w:t>
      </w:r>
      <w:r>
        <w:rPr>
          <w:spacing w:val="-10"/>
          <w:sz w:val="28"/>
        </w:rPr>
        <w:t>：</w:t>
      </w:r>
    </w:p>
    <w:tbl>
      <w:tblPr>
        <w:tblStyle w:val="8"/>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1277"/>
        <w:gridCol w:w="2977"/>
        <w:gridCol w:w="1842"/>
        <w:gridCol w:w="1843"/>
        <w:gridCol w:w="1985"/>
        <w:gridCol w:w="1701"/>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0" w:hRule="atLeast"/>
        </w:trPr>
        <w:tc>
          <w:tcPr>
            <w:tcW w:w="70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序号</w:t>
            </w:r>
          </w:p>
        </w:tc>
        <w:tc>
          <w:tcPr>
            <w:tcW w:w="127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工艺分类</w:t>
            </w:r>
          </w:p>
        </w:tc>
        <w:tc>
          <w:tcPr>
            <w:tcW w:w="297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产品名称及规格</w:t>
            </w:r>
          </w:p>
        </w:tc>
        <w:tc>
          <w:tcPr>
            <w:tcW w:w="184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产品产量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（t）</w:t>
            </w: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单位产品</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综合能耗</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4"/>
              </w:rPr>
              <w:t>（kgce/t）</w:t>
            </w:r>
          </w:p>
        </w:tc>
        <w:tc>
          <w:tcPr>
            <w:tcW w:w="198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4"/>
              </w:rPr>
            </w:pPr>
            <w:r>
              <w:rPr>
                <w:spacing w:val="0"/>
                <w:sz w:val="28"/>
              </w:rPr>
              <w:t>综合能耗限额限定值</w:t>
            </w:r>
            <w:r>
              <w:rPr>
                <w:spacing w:val="0"/>
                <w:sz w:val="24"/>
              </w:rPr>
              <w:t>（kgce/t）</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是否符合能</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耗限额标准</w:t>
            </w: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超限比例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8"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1</w:t>
            </w:r>
          </w:p>
        </w:tc>
        <w:tc>
          <w:tcPr>
            <w:tcW w:w="1277"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电石法</w:t>
            </w:r>
          </w:p>
        </w:tc>
        <w:tc>
          <w:tcPr>
            <w:tcW w:w="297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通用型聚氯乙烯树脂</w:t>
            </w:r>
          </w:p>
        </w:tc>
        <w:tc>
          <w:tcPr>
            <w:tcW w:w="184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≤285</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97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糊用型聚氯乙烯树脂</w:t>
            </w:r>
          </w:p>
        </w:tc>
        <w:tc>
          <w:tcPr>
            <w:tcW w:w="184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≤500</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8"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2</w:t>
            </w:r>
          </w:p>
        </w:tc>
        <w:tc>
          <w:tcPr>
            <w:tcW w:w="1277"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乙烯法</w:t>
            </w:r>
          </w:p>
        </w:tc>
        <w:tc>
          <w:tcPr>
            <w:tcW w:w="297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通用型聚氯乙烯树脂</w:t>
            </w:r>
          </w:p>
        </w:tc>
        <w:tc>
          <w:tcPr>
            <w:tcW w:w="184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≤640</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0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97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糊用型聚氯乙烯树脂</w:t>
            </w:r>
          </w:p>
        </w:tc>
        <w:tc>
          <w:tcPr>
            <w:tcW w:w="184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≤1150</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8"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3</w:t>
            </w:r>
          </w:p>
        </w:tc>
        <w:tc>
          <w:tcPr>
            <w:tcW w:w="1277"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单体法</w:t>
            </w:r>
          </w:p>
        </w:tc>
        <w:tc>
          <w:tcPr>
            <w:tcW w:w="297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通用型聚氯乙烯树脂</w:t>
            </w:r>
          </w:p>
        </w:tc>
        <w:tc>
          <w:tcPr>
            <w:tcW w:w="184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≤230</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127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
                <w:szCs w:val="2"/>
              </w:rPr>
            </w:pPr>
          </w:p>
        </w:tc>
        <w:tc>
          <w:tcPr>
            <w:tcW w:w="2977"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糊用型聚氯乙烯树脂</w:t>
            </w:r>
          </w:p>
        </w:tc>
        <w:tc>
          <w:tcPr>
            <w:tcW w:w="184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98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spacing w:val="0"/>
                <w:sz w:val="28"/>
              </w:rPr>
            </w:pPr>
            <w:r>
              <w:rPr>
                <w:spacing w:val="0"/>
                <w:sz w:val="28"/>
              </w:rPr>
              <w:t>≤435</w:t>
            </w:r>
          </w:p>
        </w:tc>
        <w:tc>
          <w:tcPr>
            <w:tcW w:w="170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c>
          <w:tcPr>
            <w:tcW w:w="155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ascii="Times New Roman"/>
                <w:spacing w:val="0"/>
                <w:sz w:val="28"/>
              </w:rPr>
            </w:pPr>
          </w:p>
        </w:tc>
      </w:tr>
    </w:tbl>
    <w:p>
      <w:pPr>
        <w:jc w:val="center"/>
        <w:rPr>
          <w:rFonts w:ascii="Times New Roman"/>
          <w:sz w:val="28"/>
        </w:rPr>
        <w:sectPr>
          <w:pgSz w:w="16840" w:h="11910" w:orient="landscape"/>
          <w:pgMar w:top="1340" w:right="1100" w:bottom="1960" w:left="1220" w:header="0" w:footer="1767" w:gutter="0"/>
          <w:cols w:space="720" w:num="1"/>
        </w:sectPr>
      </w:pPr>
    </w:p>
    <w:p>
      <w:pPr>
        <w:pStyle w:val="2"/>
        <w:tabs>
          <w:tab w:val="left" w:pos="3556"/>
        </w:tabs>
        <w:spacing w:before="1"/>
        <w:jc w:val="center"/>
        <w:rPr>
          <w:rFonts w:hint="eastAsia" w:ascii="黑体" w:hAnsi="黑体" w:eastAsia="黑体" w:cs="黑体"/>
          <w:color w:val="333333"/>
        </w:rPr>
      </w:pPr>
      <w:bookmarkStart w:id="7" w:name="表1-_8__________________氯碱企业能源计量器具情况表"/>
      <w:bookmarkEnd w:id="7"/>
      <w:r>
        <w:rPr>
          <w:rFonts w:hint="eastAsia" w:ascii="黑体" w:hAnsi="黑体" w:eastAsia="黑体" w:cs="黑体"/>
          <w:color w:val="333333"/>
        </w:rPr>
        <w:t>表1-8</w:t>
      </w:r>
      <w:r>
        <w:rPr>
          <w:rFonts w:hint="eastAsia" w:ascii="黑体" w:hAnsi="黑体" w:eastAsia="黑体" w:cs="黑体"/>
          <w:color w:val="333333"/>
          <w:lang w:val="en-US" w:eastAsia="zh-CN"/>
        </w:rPr>
        <w:t xml:space="preserve"> </w:t>
      </w:r>
      <w:r>
        <w:rPr>
          <w:rFonts w:hint="eastAsia" w:ascii="黑体" w:hAnsi="黑体" w:eastAsia="黑体" w:cs="黑体"/>
          <w:color w:val="333333"/>
        </w:rPr>
        <w:t>氯碱企业能源计量器具情况表</w:t>
      </w:r>
    </w:p>
    <w:p>
      <w:pPr>
        <w:tabs>
          <w:tab w:val="left" w:pos="5468"/>
          <w:tab w:val="left" w:pos="11070"/>
        </w:tabs>
        <w:ind w:left="428"/>
        <w:jc w:val="center"/>
        <w:rPr>
          <w:sz w:val="28"/>
        </w:rPr>
      </w:pPr>
      <w:r>
        <w:rPr>
          <w:spacing w:val="-2"/>
          <w:sz w:val="28"/>
        </w:rPr>
        <w:t>企业名称（盖章</w:t>
      </w:r>
      <w:r>
        <w:rPr>
          <w:spacing w:val="-147"/>
          <w:sz w:val="28"/>
        </w:rPr>
        <w:t>）</w:t>
      </w:r>
      <w:r>
        <w:rPr>
          <w:spacing w:val="-5"/>
          <w:sz w:val="28"/>
        </w:rPr>
        <w:t>：</w:t>
      </w:r>
      <w:r>
        <w:rPr>
          <w:sz w:val="28"/>
        </w:rPr>
        <w:tab/>
      </w:r>
      <w:r>
        <w:rPr>
          <w:spacing w:val="-2"/>
          <w:sz w:val="28"/>
        </w:rPr>
        <w:t>产品名称</w:t>
      </w:r>
      <w:r>
        <w:rPr>
          <w:spacing w:val="-10"/>
          <w:sz w:val="28"/>
        </w:rPr>
        <w:t>：</w:t>
      </w:r>
      <w:r>
        <w:rPr>
          <w:sz w:val="28"/>
        </w:rPr>
        <w:tab/>
      </w:r>
      <w:r>
        <w:rPr>
          <w:spacing w:val="-2"/>
          <w:sz w:val="28"/>
        </w:rPr>
        <w:t>核查年度</w:t>
      </w:r>
      <w:r>
        <w:rPr>
          <w:spacing w:val="-10"/>
          <w:sz w:val="28"/>
        </w:rPr>
        <w:t>：</w:t>
      </w:r>
    </w:p>
    <w:tbl>
      <w:tblPr>
        <w:tblStyle w:val="8"/>
        <w:tblW w:w="0" w:type="auto"/>
        <w:tblInd w:w="2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07"/>
        <w:gridCol w:w="990"/>
        <w:gridCol w:w="2268"/>
        <w:gridCol w:w="1843"/>
        <w:gridCol w:w="1558"/>
        <w:gridCol w:w="1849"/>
        <w:gridCol w:w="2299"/>
        <w:gridCol w:w="10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等级</w:t>
            </w:r>
          </w:p>
        </w:tc>
        <w:tc>
          <w:tcPr>
            <w:tcW w:w="99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序号</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能源种类</w:t>
            </w: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计量器具类别</w:t>
            </w: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运行状态</w:t>
            </w: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安装使用地点</w:t>
            </w:r>
          </w:p>
        </w:tc>
        <w:tc>
          <w:tcPr>
            <w:tcW w:w="229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是否在检定周期内</w:t>
            </w:r>
          </w:p>
        </w:tc>
        <w:tc>
          <w:tcPr>
            <w:tcW w:w="107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进出用能单位</w:t>
            </w:r>
          </w:p>
        </w:tc>
        <w:tc>
          <w:tcPr>
            <w:tcW w:w="99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1</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229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07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99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229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07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restart"/>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小计</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应配数量(台)</w:t>
            </w: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实配数量(台)</w:t>
            </w: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配备率(%)</w:t>
            </w: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完好率(%)</w:t>
            </w: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等级</w:t>
            </w:r>
          </w:p>
        </w:tc>
        <w:tc>
          <w:tcPr>
            <w:tcW w:w="99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序号</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能源种类</w:t>
            </w: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计量器具类别</w:t>
            </w: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运行状态</w:t>
            </w: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安装使用地点</w:t>
            </w:r>
          </w:p>
        </w:tc>
        <w:tc>
          <w:tcPr>
            <w:tcW w:w="229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是否在检定周期内</w:t>
            </w:r>
          </w:p>
        </w:tc>
        <w:tc>
          <w:tcPr>
            <w:tcW w:w="107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进出主要</w:t>
            </w:r>
          </w:p>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次级用能单位</w:t>
            </w:r>
          </w:p>
        </w:tc>
        <w:tc>
          <w:tcPr>
            <w:tcW w:w="99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1</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229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07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990"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229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071"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restart"/>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小计</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应配数量(台)</w:t>
            </w: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实配数量(台)</w:t>
            </w: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配备率(%)</w:t>
            </w: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完好率(%)</w:t>
            </w: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3"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等级</w:t>
            </w:r>
          </w:p>
        </w:tc>
        <w:tc>
          <w:tcPr>
            <w:tcW w:w="990"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序号</w:t>
            </w:r>
          </w:p>
        </w:tc>
        <w:tc>
          <w:tcPr>
            <w:tcW w:w="4111"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能源种类</w:t>
            </w:r>
          </w:p>
        </w:tc>
        <w:tc>
          <w:tcPr>
            <w:tcW w:w="155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应配数</w:t>
            </w:r>
          </w:p>
        </w:tc>
        <w:tc>
          <w:tcPr>
            <w:tcW w:w="1849"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实配数</w:t>
            </w:r>
          </w:p>
        </w:tc>
        <w:tc>
          <w:tcPr>
            <w:tcW w:w="2299"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完好数</w:t>
            </w:r>
          </w:p>
        </w:tc>
        <w:tc>
          <w:tcPr>
            <w:tcW w:w="107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Merge w:val="restart"/>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主要用能设备</w:t>
            </w:r>
          </w:p>
        </w:tc>
        <w:tc>
          <w:tcPr>
            <w:tcW w:w="990"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1</w:t>
            </w:r>
          </w:p>
        </w:tc>
        <w:tc>
          <w:tcPr>
            <w:tcW w:w="4111"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299"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107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07"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
                <w:szCs w:val="2"/>
              </w:rPr>
            </w:pPr>
          </w:p>
        </w:tc>
        <w:tc>
          <w:tcPr>
            <w:tcW w:w="990"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w:t>
            </w:r>
          </w:p>
        </w:tc>
        <w:tc>
          <w:tcPr>
            <w:tcW w:w="4111"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299"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107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restart"/>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小计</w:t>
            </w:r>
          </w:p>
        </w:tc>
        <w:tc>
          <w:tcPr>
            <w:tcW w:w="4111"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应配数量(台)</w:t>
            </w:r>
          </w:p>
        </w:tc>
        <w:tc>
          <w:tcPr>
            <w:tcW w:w="155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实配数量(台)</w:t>
            </w:r>
          </w:p>
        </w:tc>
        <w:tc>
          <w:tcPr>
            <w:tcW w:w="1849"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配备率(%)</w:t>
            </w: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完好率(%)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
                <w:szCs w:val="2"/>
              </w:rPr>
            </w:pPr>
          </w:p>
        </w:tc>
        <w:tc>
          <w:tcPr>
            <w:tcW w:w="4111"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155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1849"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项目</w:t>
            </w:r>
          </w:p>
        </w:tc>
        <w:tc>
          <w:tcPr>
            <w:tcW w:w="7518" w:type="dxa"/>
            <w:gridSpan w:val="4"/>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要求</w:t>
            </w: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是或否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能源计量制度</w:t>
            </w:r>
          </w:p>
        </w:tc>
        <w:tc>
          <w:tcPr>
            <w:tcW w:w="7518" w:type="dxa"/>
            <w:gridSpan w:val="4"/>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是否建立能源计量管理体系，并形成文件</w:t>
            </w: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restart"/>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能源计量人员</w:t>
            </w:r>
          </w:p>
        </w:tc>
        <w:tc>
          <w:tcPr>
            <w:tcW w:w="7518" w:type="dxa"/>
            <w:gridSpan w:val="4"/>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是否有专人负责能源计量器具的管理</w:t>
            </w: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
                <w:szCs w:val="2"/>
              </w:rPr>
            </w:pPr>
          </w:p>
        </w:tc>
        <w:tc>
          <w:tcPr>
            <w:tcW w:w="7518" w:type="dxa"/>
            <w:gridSpan w:val="4"/>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是否有专人负责主要次级用能单位和主要用能设备能源计量器具的管理</w:t>
            </w: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restart"/>
            <w:tcBorders>
              <w:bottom w:val="nil"/>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能源计量器具</w:t>
            </w:r>
          </w:p>
        </w:tc>
        <w:tc>
          <w:tcPr>
            <w:tcW w:w="7518" w:type="dxa"/>
            <w:gridSpan w:val="4"/>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是否有完整的能源计量器具一览表</w:t>
            </w: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bottom w:val="nil"/>
            </w:tcBorders>
            <w:vAlign w:val="center"/>
          </w:tcPr>
          <w:p>
            <w:pPr>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
                <w:szCs w:val="2"/>
              </w:rPr>
            </w:pPr>
          </w:p>
        </w:tc>
        <w:tc>
          <w:tcPr>
            <w:tcW w:w="7518" w:type="dxa"/>
            <w:gridSpan w:val="4"/>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是否建立符合规定的能源计量器具档案</w:t>
            </w: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bottom w:val="nil"/>
            </w:tcBorders>
            <w:vAlign w:val="center"/>
          </w:tcPr>
          <w:p>
            <w:pPr>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
                <w:szCs w:val="2"/>
              </w:rPr>
            </w:pPr>
          </w:p>
        </w:tc>
        <w:tc>
          <w:tcPr>
            <w:tcW w:w="7518" w:type="dxa"/>
            <w:gridSpan w:val="4"/>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是否在有效检定期内</w:t>
            </w:r>
          </w:p>
        </w:tc>
        <w:tc>
          <w:tcPr>
            <w:tcW w:w="3370" w:type="dxa"/>
            <w:gridSpan w:val="2"/>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tcBorders>
              <w:top w:val="nil"/>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4"/>
              </w:rPr>
            </w:pPr>
          </w:p>
        </w:tc>
        <w:tc>
          <w:tcPr>
            <w:tcW w:w="7518" w:type="dxa"/>
            <w:gridSpan w:val="4"/>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计量精度是否符合GB17167标准要求</w:t>
            </w: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restart"/>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能源计量数据</w:t>
            </w:r>
          </w:p>
        </w:tc>
        <w:tc>
          <w:tcPr>
            <w:tcW w:w="7518" w:type="dxa"/>
            <w:gridSpan w:val="4"/>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是否建立能源统计报表制度</w:t>
            </w: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7518" w:type="dxa"/>
            <w:gridSpan w:val="4"/>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能源统计报表是否规范、齐全</w:t>
            </w: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7518" w:type="dxa"/>
            <w:gridSpan w:val="4"/>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是否有用于能源计量数据记录的标准表格样式</w:t>
            </w: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097"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
                <w:szCs w:val="2"/>
              </w:rPr>
            </w:pPr>
          </w:p>
        </w:tc>
        <w:tc>
          <w:tcPr>
            <w:tcW w:w="7518" w:type="dxa"/>
            <w:gridSpan w:val="4"/>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sz w:val="28"/>
              </w:rPr>
            </w:pPr>
            <w:r>
              <w:rPr>
                <w:spacing w:val="0"/>
                <w:sz w:val="28"/>
              </w:rPr>
              <w:t>是否利用计算机和网络技术建立了能源计量数据中心</w:t>
            </w:r>
          </w:p>
        </w:tc>
        <w:tc>
          <w:tcPr>
            <w:tcW w:w="3370" w:type="dxa"/>
            <w:gridSpan w:val="2"/>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spacing w:val="0"/>
                <w:sz w:val="24"/>
              </w:rPr>
            </w:pPr>
          </w:p>
        </w:tc>
      </w:tr>
    </w:tbl>
    <w:p>
      <w:pPr>
        <w:tabs>
          <w:tab w:val="left" w:pos="3649"/>
          <w:tab w:val="left" w:pos="6728"/>
          <w:tab w:val="left" w:pos="10230"/>
          <w:tab w:val="left" w:pos="12049"/>
        </w:tabs>
        <w:spacing w:before="61"/>
        <w:ind w:left="428"/>
        <w:jc w:val="center"/>
        <w:rPr>
          <w:sz w:val="28"/>
        </w:rPr>
      </w:pPr>
      <w:r>
        <w:rPr>
          <w:spacing w:val="-2"/>
          <w:sz w:val="28"/>
        </w:rPr>
        <w:t>填报人</w:t>
      </w:r>
      <w:r>
        <w:rPr>
          <w:spacing w:val="-10"/>
          <w:sz w:val="28"/>
        </w:rPr>
        <w:t>：</w:t>
      </w:r>
      <w:r>
        <w:rPr>
          <w:sz w:val="28"/>
        </w:rPr>
        <w:tab/>
      </w:r>
      <w:r>
        <w:rPr>
          <w:spacing w:val="-2"/>
          <w:sz w:val="28"/>
        </w:rPr>
        <w:t>填报负责人</w:t>
      </w:r>
      <w:r>
        <w:rPr>
          <w:spacing w:val="-10"/>
          <w:sz w:val="28"/>
        </w:rPr>
        <w:t>：</w:t>
      </w:r>
      <w:r>
        <w:rPr>
          <w:sz w:val="28"/>
        </w:rPr>
        <w:tab/>
      </w:r>
      <w:r>
        <w:rPr>
          <w:spacing w:val="-2"/>
          <w:sz w:val="28"/>
        </w:rPr>
        <w:t>单位负责人</w:t>
      </w:r>
      <w:r>
        <w:rPr>
          <w:spacing w:val="-10"/>
          <w:sz w:val="28"/>
        </w:rPr>
        <w:t>：</w:t>
      </w:r>
      <w:r>
        <w:rPr>
          <w:sz w:val="28"/>
        </w:rPr>
        <w:tab/>
      </w:r>
      <w:r>
        <w:rPr>
          <w:spacing w:val="-2"/>
          <w:sz w:val="28"/>
        </w:rPr>
        <w:t>填报时间</w:t>
      </w:r>
      <w:r>
        <w:rPr>
          <w:spacing w:val="-10"/>
          <w:sz w:val="28"/>
        </w:rPr>
        <w:t>：</w:t>
      </w:r>
      <w:r>
        <w:rPr>
          <w:sz w:val="28"/>
        </w:rPr>
        <w:tab/>
      </w:r>
      <w:r>
        <w:rPr>
          <w:sz w:val="28"/>
        </w:rPr>
        <w:t>年月</w:t>
      </w:r>
      <w:r>
        <w:rPr>
          <w:spacing w:val="-10"/>
          <w:sz w:val="28"/>
        </w:rPr>
        <w:t>日</w:t>
      </w:r>
    </w:p>
    <w:p>
      <w:pPr>
        <w:keepNext w:val="0"/>
        <w:keepLines w:val="0"/>
        <w:pageBreakBefore w:val="0"/>
        <w:widowControl w:val="0"/>
        <w:kinsoku/>
        <w:wordWrap/>
        <w:overflowPunct w:val="0"/>
        <w:topLinePunct w:val="0"/>
        <w:autoSpaceDE/>
        <w:autoSpaceDN/>
        <w:bidi w:val="0"/>
        <w:adjustRightInd/>
        <w:snapToGrid/>
        <w:spacing w:before="1" w:line="302" w:lineRule="auto"/>
        <w:ind w:left="220" w:right="215" w:firstLine="480"/>
        <w:jc w:val="left"/>
        <w:textAlignment w:val="auto"/>
        <w:rPr>
          <w:sz w:val="24"/>
        </w:rPr>
      </w:pPr>
      <w:r>
        <w:rPr>
          <w:spacing w:val="-2"/>
          <w:sz w:val="24"/>
        </w:rPr>
        <w:t>注：1.主要次级用能单位、主要用能设备应按照《用能单位能源计量器具配备和管理通则</w:t>
      </w:r>
      <w:r>
        <w:rPr>
          <w:spacing w:val="-149"/>
          <w:sz w:val="24"/>
        </w:rPr>
        <w:t>》</w:t>
      </w:r>
      <w:r>
        <w:rPr>
          <w:spacing w:val="-2"/>
          <w:sz w:val="24"/>
        </w:rPr>
        <w:t>（GB</w:t>
      </w:r>
      <w:r>
        <w:rPr>
          <w:spacing w:val="-60"/>
          <w:sz w:val="24"/>
        </w:rPr>
        <w:t xml:space="preserve"> </w:t>
      </w:r>
      <w:r>
        <w:rPr>
          <w:spacing w:val="-2"/>
          <w:sz w:val="24"/>
        </w:rPr>
        <w:t>17167）中有关主要次级用能单位、主要用能设备能耗（或功率）限定值进行判定。</w:t>
      </w:r>
    </w:p>
    <w:p>
      <w:pPr>
        <w:pStyle w:val="9"/>
        <w:keepNext w:val="0"/>
        <w:keepLines w:val="0"/>
        <w:pageBreakBefore w:val="0"/>
        <w:widowControl w:val="0"/>
        <w:numPr>
          <w:ilvl w:val="0"/>
          <w:numId w:val="1"/>
        </w:numPr>
        <w:tabs>
          <w:tab w:val="left" w:pos="1421"/>
        </w:tabs>
        <w:kinsoku/>
        <w:wordWrap/>
        <w:overflowPunct w:val="0"/>
        <w:topLinePunct w:val="0"/>
        <w:autoSpaceDE/>
        <w:autoSpaceDN/>
        <w:bidi w:val="0"/>
        <w:adjustRightInd/>
        <w:snapToGrid/>
        <w:spacing w:before="5"/>
        <w:ind w:left="1423" w:hanging="244"/>
        <w:jc w:val="left"/>
        <w:textAlignment w:val="auto"/>
        <w:rPr>
          <w:sz w:val="24"/>
        </w:rPr>
      </w:pPr>
      <w:r>
        <w:rPr>
          <w:sz w:val="24"/>
        </w:rPr>
        <w:t>计量器具类别：衡器、电</w:t>
      </w:r>
      <w:bookmarkStart w:id="9" w:name="_GoBack"/>
      <w:bookmarkEnd w:id="9"/>
      <w:r>
        <w:rPr>
          <w:sz w:val="24"/>
        </w:rPr>
        <w:t>能表、油流量表（装置</w:t>
      </w:r>
      <w:r>
        <w:rPr>
          <w:spacing w:val="-120"/>
          <w:sz w:val="24"/>
        </w:rPr>
        <w:t>）</w:t>
      </w:r>
      <w:r>
        <w:rPr>
          <w:sz w:val="24"/>
        </w:rPr>
        <w:t>、气体流量表（装置</w:t>
      </w:r>
      <w:r>
        <w:rPr>
          <w:spacing w:val="-120"/>
          <w:sz w:val="24"/>
        </w:rPr>
        <w:t>）</w:t>
      </w:r>
      <w:r>
        <w:rPr>
          <w:sz w:val="24"/>
        </w:rPr>
        <w:t>、水流量表（装置）</w:t>
      </w:r>
      <w:r>
        <w:rPr>
          <w:spacing w:val="-5"/>
          <w:sz w:val="24"/>
        </w:rPr>
        <w:t>等。</w:t>
      </w:r>
    </w:p>
    <w:p>
      <w:pPr>
        <w:pStyle w:val="9"/>
        <w:keepNext w:val="0"/>
        <w:keepLines w:val="0"/>
        <w:pageBreakBefore w:val="0"/>
        <w:widowControl w:val="0"/>
        <w:numPr>
          <w:ilvl w:val="0"/>
          <w:numId w:val="1"/>
        </w:numPr>
        <w:tabs>
          <w:tab w:val="left" w:pos="1421"/>
        </w:tabs>
        <w:kinsoku/>
        <w:wordWrap/>
        <w:overflowPunct w:val="0"/>
        <w:topLinePunct w:val="0"/>
        <w:autoSpaceDE/>
        <w:autoSpaceDN/>
        <w:bidi w:val="0"/>
        <w:adjustRightInd/>
        <w:snapToGrid/>
        <w:spacing w:before="81"/>
        <w:jc w:val="left"/>
        <w:textAlignment w:val="auto"/>
        <w:rPr>
          <w:sz w:val="24"/>
        </w:rPr>
      </w:pPr>
      <w:r>
        <w:rPr>
          <w:spacing w:val="-1"/>
          <w:sz w:val="24"/>
        </w:rPr>
        <w:t>运行状态：正常、维护、停用。</w:t>
      </w:r>
    </w:p>
    <w:p>
      <w:pPr>
        <w:pStyle w:val="9"/>
        <w:keepNext w:val="0"/>
        <w:keepLines w:val="0"/>
        <w:pageBreakBefore w:val="0"/>
        <w:widowControl w:val="0"/>
        <w:numPr>
          <w:ilvl w:val="0"/>
          <w:numId w:val="1"/>
        </w:numPr>
        <w:tabs>
          <w:tab w:val="left" w:pos="1421"/>
        </w:tabs>
        <w:kinsoku/>
        <w:wordWrap/>
        <w:overflowPunct w:val="0"/>
        <w:topLinePunct w:val="0"/>
        <w:autoSpaceDE/>
        <w:autoSpaceDN/>
        <w:bidi w:val="0"/>
        <w:adjustRightInd/>
        <w:snapToGrid/>
        <w:spacing w:before="84" w:line="302" w:lineRule="auto"/>
        <w:ind w:left="220" w:right="337" w:firstLine="960"/>
        <w:jc w:val="left"/>
        <w:textAlignment w:val="auto"/>
        <w:rPr>
          <w:sz w:val="24"/>
        </w:rPr>
      </w:pPr>
      <w:r>
        <w:rPr>
          <w:spacing w:val="-2"/>
          <w:sz w:val="24"/>
        </w:rPr>
        <w:t>能源种类：包括煤炭、原油、天然气、焦炭、煤气、热力、成品油、液化石油气、生物质能和其他直接或通过加工、转换而取得有用能的各种资源。</w:t>
      </w:r>
    </w:p>
    <w:p>
      <w:pPr>
        <w:pStyle w:val="9"/>
        <w:keepNext w:val="0"/>
        <w:keepLines w:val="0"/>
        <w:pageBreakBefore w:val="0"/>
        <w:widowControl w:val="0"/>
        <w:numPr>
          <w:ilvl w:val="0"/>
          <w:numId w:val="1"/>
        </w:numPr>
        <w:tabs>
          <w:tab w:val="left" w:pos="1421"/>
        </w:tabs>
        <w:kinsoku/>
        <w:wordWrap/>
        <w:overflowPunct w:val="0"/>
        <w:topLinePunct w:val="0"/>
        <w:autoSpaceDE/>
        <w:autoSpaceDN/>
        <w:bidi w:val="0"/>
        <w:adjustRightInd/>
        <w:snapToGrid/>
        <w:spacing w:before="5"/>
        <w:jc w:val="left"/>
        <w:textAlignment w:val="auto"/>
        <w:rPr>
          <w:sz w:val="24"/>
        </w:rPr>
      </w:pPr>
      <w:r>
        <w:rPr>
          <w:spacing w:val="-1"/>
          <w:sz w:val="24"/>
        </w:rPr>
        <w:t>填报单位应详细注明计量器具安装使用地点。</w:t>
      </w:r>
    </w:p>
    <w:p>
      <w:pPr>
        <w:keepNext w:val="0"/>
        <w:keepLines w:val="0"/>
        <w:pageBreakBefore w:val="0"/>
        <w:widowControl w:val="0"/>
        <w:kinsoku/>
        <w:wordWrap/>
        <w:overflowPunct w:val="0"/>
        <w:topLinePunct w:val="0"/>
        <w:autoSpaceDE/>
        <w:autoSpaceDN/>
        <w:bidi w:val="0"/>
        <w:adjustRightInd/>
        <w:snapToGrid/>
        <w:jc w:val="left"/>
        <w:textAlignment w:val="auto"/>
        <w:rPr>
          <w:sz w:val="24"/>
        </w:rPr>
        <w:sectPr>
          <w:pgSz w:w="16840" w:h="11910" w:orient="landscape"/>
          <w:pgMar w:top="1340" w:right="1100" w:bottom="1960" w:left="1220" w:header="0" w:footer="1767" w:gutter="0"/>
          <w:cols w:space="720" w:num="1"/>
        </w:sectPr>
      </w:pPr>
    </w:p>
    <w:p>
      <w:pPr>
        <w:pStyle w:val="2"/>
        <w:tabs>
          <w:tab w:val="left" w:pos="3556"/>
        </w:tabs>
        <w:spacing w:before="1"/>
        <w:jc w:val="center"/>
        <w:rPr>
          <w:rFonts w:hint="eastAsia" w:ascii="黑体" w:hAnsi="黑体" w:eastAsia="黑体" w:cs="黑体"/>
          <w:color w:val="333333"/>
        </w:rPr>
      </w:pPr>
      <w:bookmarkStart w:id="8" w:name="表1-_9________________氯碱行业生产线节能项目情况表"/>
      <w:bookmarkEnd w:id="8"/>
      <w:r>
        <w:rPr>
          <w:rFonts w:hint="eastAsia" w:ascii="黑体" w:hAnsi="黑体" w:eastAsia="黑体" w:cs="黑体"/>
          <w:color w:val="333333"/>
        </w:rPr>
        <w:t>表1-9</w:t>
      </w:r>
      <w:r>
        <w:rPr>
          <w:rFonts w:hint="eastAsia" w:ascii="黑体" w:hAnsi="黑体" w:eastAsia="黑体" w:cs="黑体"/>
          <w:color w:val="333333"/>
          <w:lang w:val="en-US" w:eastAsia="zh-CN"/>
        </w:rPr>
        <w:t xml:space="preserve"> </w:t>
      </w:r>
      <w:r>
        <w:rPr>
          <w:rFonts w:hint="eastAsia" w:ascii="黑体" w:hAnsi="黑体" w:eastAsia="黑体" w:cs="黑体"/>
          <w:color w:val="333333"/>
        </w:rPr>
        <w:t>氯碱行业生产线节能项目情况表</w:t>
      </w:r>
    </w:p>
    <w:p>
      <w:pPr>
        <w:tabs>
          <w:tab w:val="left" w:pos="10369"/>
        </w:tabs>
        <w:ind w:left="428"/>
        <w:jc w:val="center"/>
        <w:rPr>
          <w:sz w:val="28"/>
        </w:rPr>
      </w:pPr>
      <w:r>
        <w:rPr>
          <w:spacing w:val="-2"/>
          <w:sz w:val="28"/>
        </w:rPr>
        <w:t>企业名称（盖章</w:t>
      </w:r>
      <w:r>
        <w:rPr>
          <w:spacing w:val="-147"/>
          <w:sz w:val="28"/>
        </w:rPr>
        <w:t>）</w:t>
      </w:r>
      <w:r>
        <w:rPr>
          <w:spacing w:val="-5"/>
          <w:sz w:val="28"/>
        </w:rPr>
        <w:t>：</w:t>
      </w:r>
      <w:r>
        <w:rPr>
          <w:sz w:val="28"/>
        </w:rPr>
        <w:tab/>
      </w:r>
      <w:r>
        <w:rPr>
          <w:spacing w:val="-2"/>
          <w:sz w:val="28"/>
        </w:rPr>
        <w:t>核查年度</w:t>
      </w:r>
      <w:r>
        <w:rPr>
          <w:spacing w:val="-10"/>
          <w:sz w:val="28"/>
        </w:rPr>
        <w:t>：</w:t>
      </w:r>
    </w:p>
    <w:tbl>
      <w:tblPr>
        <w:tblStyle w:val="8"/>
        <w:tblW w:w="0" w:type="auto"/>
        <w:tblInd w:w="2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7"/>
        <w:gridCol w:w="5811"/>
        <w:gridCol w:w="2372"/>
        <w:gridCol w:w="2372"/>
        <w:gridCol w:w="23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1" w:hRule="atLeast"/>
        </w:trPr>
        <w:tc>
          <w:tcPr>
            <w:tcW w:w="957"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序号</w:t>
            </w:r>
          </w:p>
        </w:tc>
        <w:tc>
          <w:tcPr>
            <w:tcW w:w="581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主要节能措施、节能技术改造项目</w:t>
            </w: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实施时间</w:t>
            </w: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总投资</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（万元）</w:t>
            </w:r>
          </w:p>
        </w:tc>
        <w:tc>
          <w:tcPr>
            <w:tcW w:w="237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节能效果</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（吨标准煤/年）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957"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1</w:t>
            </w:r>
          </w:p>
        </w:tc>
        <w:tc>
          <w:tcPr>
            <w:tcW w:w="581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957"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2</w:t>
            </w:r>
          </w:p>
        </w:tc>
        <w:tc>
          <w:tcPr>
            <w:tcW w:w="581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957"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3</w:t>
            </w:r>
          </w:p>
        </w:tc>
        <w:tc>
          <w:tcPr>
            <w:tcW w:w="581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957"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4</w:t>
            </w:r>
          </w:p>
        </w:tc>
        <w:tc>
          <w:tcPr>
            <w:tcW w:w="581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957"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8"/>
              </w:rPr>
            </w:pPr>
            <w:r>
              <w:rPr>
                <w:spacing w:val="0"/>
                <w:sz w:val="28"/>
              </w:rPr>
              <w:t>……</w:t>
            </w:r>
          </w:p>
        </w:tc>
        <w:tc>
          <w:tcPr>
            <w:tcW w:w="5811"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2"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c>
          <w:tcPr>
            <w:tcW w:w="237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sz w:val="28"/>
              </w:rPr>
            </w:pPr>
          </w:p>
        </w:tc>
      </w:tr>
    </w:tbl>
    <w:p>
      <w:pPr>
        <w:tabs>
          <w:tab w:val="left" w:pos="3368"/>
          <w:tab w:val="left" w:pos="7148"/>
          <w:tab w:val="left" w:pos="10789"/>
          <w:tab w:val="left" w:pos="12608"/>
        </w:tabs>
        <w:spacing w:before="9"/>
        <w:ind w:left="428"/>
        <w:jc w:val="center"/>
        <w:rPr>
          <w:rFonts w:hint="eastAsia"/>
          <w:sz w:val="28"/>
          <w:lang w:eastAsia="zh-CN"/>
        </w:rPr>
      </w:pPr>
      <w:r>
        <w:rPr>
          <w:spacing w:val="-2"/>
          <w:sz w:val="28"/>
        </w:rPr>
        <w:t>填报人</w:t>
      </w:r>
      <w:r>
        <w:rPr>
          <w:spacing w:val="-10"/>
          <w:sz w:val="28"/>
        </w:rPr>
        <w:t>：</w:t>
      </w:r>
      <w:r>
        <w:rPr>
          <w:sz w:val="28"/>
        </w:rPr>
        <w:tab/>
      </w:r>
      <w:r>
        <w:rPr>
          <w:spacing w:val="-2"/>
          <w:sz w:val="28"/>
        </w:rPr>
        <w:t>填报负责人</w:t>
      </w:r>
      <w:r>
        <w:rPr>
          <w:spacing w:val="-10"/>
          <w:sz w:val="28"/>
        </w:rPr>
        <w:t>：</w:t>
      </w:r>
      <w:r>
        <w:rPr>
          <w:sz w:val="28"/>
        </w:rPr>
        <w:tab/>
      </w:r>
      <w:r>
        <w:rPr>
          <w:spacing w:val="-2"/>
          <w:sz w:val="28"/>
        </w:rPr>
        <w:t>单位负责人</w:t>
      </w:r>
      <w:r>
        <w:rPr>
          <w:spacing w:val="-10"/>
          <w:sz w:val="28"/>
        </w:rPr>
        <w:t>：</w:t>
      </w:r>
      <w:r>
        <w:rPr>
          <w:sz w:val="28"/>
        </w:rPr>
        <w:tab/>
      </w:r>
      <w:r>
        <w:rPr>
          <w:spacing w:val="-2"/>
          <w:sz w:val="28"/>
        </w:rPr>
        <w:t>填报时间</w:t>
      </w:r>
      <w:r>
        <w:rPr>
          <w:spacing w:val="-10"/>
          <w:sz w:val="28"/>
        </w:rPr>
        <w:t>：</w:t>
      </w:r>
      <w:r>
        <w:rPr>
          <w:sz w:val="28"/>
        </w:rPr>
        <w:tab/>
      </w:r>
      <w:r>
        <w:rPr>
          <w:sz w:val="28"/>
        </w:rPr>
        <w:t>年</w:t>
      </w:r>
      <w:r>
        <w:rPr>
          <w:spacing w:val="-10"/>
          <w:sz w:val="28"/>
        </w:rPr>
        <w:t>月</w:t>
      </w:r>
      <w:r>
        <w:rPr>
          <w:rFonts w:hint="eastAsia"/>
          <w:sz w:val="28"/>
          <w:lang w:eastAsia="zh-CN"/>
        </w:rPr>
        <w:t>日</w:t>
      </w:r>
    </w:p>
    <w:p>
      <w:pPr>
        <w:jc w:val="center"/>
        <w:rPr>
          <w:rFonts w:hint="eastAsia"/>
          <w:sz w:val="28"/>
          <w:lang w:eastAsia="zh-CN"/>
        </w:rPr>
      </w:pPr>
      <w:r>
        <w:rPr>
          <w:rFonts w:hint="eastAsia"/>
          <w:sz w:val="28"/>
          <w:lang w:eastAsia="zh-CN"/>
        </w:rPr>
        <w:br w:type="page"/>
      </w:r>
    </w:p>
    <w:p>
      <w:pPr>
        <w:tabs>
          <w:tab w:val="left" w:pos="3368"/>
          <w:tab w:val="left" w:pos="7148"/>
          <w:tab w:val="left" w:pos="10789"/>
          <w:tab w:val="left" w:pos="12608"/>
        </w:tabs>
        <w:spacing w:before="9"/>
        <w:ind w:left="428"/>
        <w:jc w:val="center"/>
        <w:rPr>
          <w:rFonts w:hint="eastAsia"/>
          <w:sz w:val="28"/>
          <w:lang w:eastAsia="zh-CN"/>
        </w:rPr>
        <w:sectPr>
          <w:pgSz w:w="16840" w:h="11910" w:orient="landscape"/>
          <w:pgMar w:top="1340" w:right="1100" w:bottom="1960" w:left="1220" w:header="0" w:footer="1767" w:gutter="0"/>
          <w:cols w:space="720" w:num="1"/>
        </w:sectPr>
      </w:pPr>
    </w:p>
    <w:p>
      <w:pPr>
        <w:autoSpaceDE/>
        <w:autoSpaceDN/>
        <w:snapToGrid w:val="0"/>
        <w:spacing w:line="600" w:lineRule="exact"/>
        <w:ind w:firstLine="0" w:firstLineChars="0"/>
        <w:jc w:val="center"/>
        <w:rPr>
          <w:rFonts w:hint="eastAsia" w:ascii="黑体" w:hAnsi="黑体" w:eastAsia="黑体" w:cs="Times New Roman"/>
          <w:kern w:val="2"/>
          <w:sz w:val="32"/>
          <w:szCs w:val="24"/>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10 </w:t>
      </w:r>
      <w:r>
        <w:rPr>
          <w:rFonts w:hint="eastAsia" w:ascii="黑体" w:hAnsi="黑体" w:eastAsia="黑体" w:cs="Times New Roman"/>
          <w:kern w:val="2"/>
          <w:sz w:val="32"/>
          <w:szCs w:val="24"/>
        </w:rPr>
        <w:t>变压器信息汇总表</w:t>
      </w:r>
    </w:p>
    <w:tbl>
      <w:tblPr>
        <w:tblStyle w:val="6"/>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600" w:lineRule="exact"/>
        <w:ind w:firstLine="0" w:firstLineChars="0"/>
        <w:jc w:val="center"/>
        <w:rPr>
          <w:rFonts w:hint="eastAsia" w:ascii="黑体" w:hAnsi="黑体" w:eastAsia="黑体" w:cs="Times New Roman"/>
          <w:kern w:val="2"/>
          <w:sz w:val="32"/>
          <w:szCs w:val="24"/>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11 </w:t>
      </w:r>
      <w:r>
        <w:rPr>
          <w:rFonts w:hint="eastAsia" w:ascii="黑体" w:hAnsi="黑体" w:eastAsia="黑体" w:cs="Times New Roman"/>
          <w:kern w:val="2"/>
          <w:sz w:val="32"/>
          <w:szCs w:val="24"/>
        </w:rPr>
        <w:t>电机信息汇总表</w:t>
      </w:r>
    </w:p>
    <w:tbl>
      <w:tblPr>
        <w:tblStyle w:val="6"/>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bl>
    <w:p>
      <w:pPr>
        <w:autoSpaceDE/>
        <w:autoSpaceDN/>
        <w:snapToGrid w:val="0"/>
        <w:spacing w:line="600" w:lineRule="exact"/>
        <w:ind w:firstLine="0" w:firstLineChars="0"/>
        <w:jc w:val="center"/>
        <w:rPr>
          <w:rFonts w:hint="eastAsia" w:ascii="黑体" w:hAnsi="黑体" w:eastAsia="黑体" w:cs="Times New Roman"/>
          <w:kern w:val="2"/>
          <w:sz w:val="32"/>
          <w:szCs w:val="24"/>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12 </w:t>
      </w:r>
      <w:r>
        <w:rPr>
          <w:rFonts w:hint="eastAsia" w:ascii="黑体" w:hAnsi="黑体" w:eastAsia="黑体" w:cs="Times New Roman"/>
          <w:kern w:val="2"/>
          <w:sz w:val="32"/>
          <w:szCs w:val="24"/>
        </w:rPr>
        <w:t>泵类信息汇总表</w:t>
      </w:r>
    </w:p>
    <w:tbl>
      <w:tblPr>
        <w:tblStyle w:val="6"/>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流量（m</w:t>
            </w:r>
            <w:r>
              <w:rPr>
                <w:rFonts w:hint="eastAsia" w:ascii="仿宋_GB2312" w:hAnsi="仿宋_GB2312" w:eastAsia="仿宋_GB2312" w:cs="仿宋_GB2312"/>
                <w:i w:val="0"/>
                <w:iCs w:val="0"/>
                <w:color w:val="000000"/>
                <w:kern w:val="0"/>
                <w:sz w:val="24"/>
                <w:szCs w:val="24"/>
                <w:u w:val="none"/>
                <w:vertAlign w:val="superscript"/>
                <w:lang w:val="en-US" w:eastAsia="zh-CN" w:bidi="ar"/>
              </w:rPr>
              <w:t>3</w:t>
            </w:r>
            <w:r>
              <w:rPr>
                <w:rStyle w:val="13"/>
                <w:rFonts w:hint="eastAsia" w:ascii="仿宋_GB2312" w:hAnsi="仿宋_GB2312" w:eastAsia="仿宋_GB2312" w:cs="仿宋_GB2312"/>
                <w:kern w:val="2"/>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autoSpaceDE/>
        <w:autoSpaceDN/>
        <w:snapToGrid w:val="0"/>
        <w:spacing w:line="240" w:lineRule="auto"/>
        <w:ind w:firstLine="0" w:firstLineChars="0"/>
        <w:jc w:val="center"/>
        <w:rPr>
          <w:rFonts w:hint="eastAsia" w:ascii="Times New Roman" w:hAnsi="Times New Roman" w:eastAsia="仿宋_GB2312" w:cs="Times New Roman"/>
          <w:kern w:val="2"/>
          <w:sz w:val="24"/>
          <w:szCs w:val="24"/>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600" w:lineRule="exact"/>
        <w:ind w:firstLine="0" w:firstLineChars="0"/>
        <w:jc w:val="center"/>
        <w:rPr>
          <w:rFonts w:hint="eastAsia" w:ascii="黑体" w:hAnsi="黑体" w:eastAsia="黑体" w:cs="Times New Roman"/>
          <w:kern w:val="2"/>
          <w:sz w:val="32"/>
          <w:szCs w:val="24"/>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13 </w:t>
      </w:r>
      <w:r>
        <w:rPr>
          <w:rFonts w:hint="eastAsia" w:ascii="黑体" w:hAnsi="黑体" w:eastAsia="黑体" w:cs="Times New Roman"/>
          <w:kern w:val="2"/>
          <w:sz w:val="32"/>
          <w:szCs w:val="24"/>
        </w:rPr>
        <w:t>压缩机信息汇总表</w:t>
      </w:r>
    </w:p>
    <w:tbl>
      <w:tblPr>
        <w:tblStyle w:val="6"/>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额定排气量（m</w:t>
            </w:r>
            <w:r>
              <w:rPr>
                <w:rFonts w:hint="eastAsia" w:ascii="仿宋_GB2312" w:hAnsi="仿宋_GB2312" w:eastAsia="仿宋_GB2312" w:cs="仿宋_GB2312"/>
                <w:i w:val="0"/>
                <w:iCs w:val="0"/>
                <w:color w:val="000000"/>
                <w:kern w:val="0"/>
                <w:sz w:val="24"/>
                <w:szCs w:val="24"/>
                <w:u w:val="none"/>
                <w:vertAlign w:val="superscript"/>
                <w:lang w:val="en-US" w:eastAsia="zh-CN" w:bidi="ar"/>
              </w:rPr>
              <w:t>3</w:t>
            </w:r>
            <w:r>
              <w:rPr>
                <w:rFonts w:hint="eastAsia" w:ascii="仿宋_GB2312" w:hAnsi="仿宋_GB2312" w:eastAsia="仿宋_GB2312" w:cs="仿宋_GB2312"/>
                <w:i w:val="0"/>
                <w:iCs w:val="0"/>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输入比功率（kW（m</w:t>
            </w:r>
            <w:r>
              <w:rPr>
                <w:rFonts w:hint="eastAsia" w:ascii="仿宋_GB2312" w:hAnsi="仿宋_GB2312" w:eastAsia="仿宋_GB2312" w:cs="仿宋_GB2312"/>
                <w:i w:val="0"/>
                <w:iCs w:val="0"/>
                <w:color w:val="000000"/>
                <w:kern w:val="0"/>
                <w:sz w:val="24"/>
                <w:szCs w:val="24"/>
                <w:u w:val="none"/>
                <w:vertAlign w:val="superscript"/>
                <w:lang w:val="en-US" w:eastAsia="zh-CN" w:bidi="ar"/>
              </w:rPr>
              <w:t>3</w:t>
            </w:r>
            <w:r>
              <w:rPr>
                <w:rFonts w:hint="eastAsia" w:ascii="仿宋_GB2312" w:hAnsi="仿宋_GB2312" w:eastAsia="仿宋_GB2312" w:cs="仿宋_GB2312"/>
                <w:i w:val="0"/>
                <w:iCs w:val="0"/>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240" w:lineRule="auto"/>
        <w:ind w:firstLine="0" w:firstLineChars="0"/>
        <w:jc w:val="center"/>
        <w:rPr>
          <w:rFonts w:hint="eastAsia" w:ascii="黑体" w:hAnsi="黑体" w:eastAsia="黑体" w:cs="黑体"/>
          <w:kern w:val="2"/>
          <w:sz w:val="32"/>
          <w:szCs w:val="32"/>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14 </w:t>
      </w:r>
      <w:r>
        <w:rPr>
          <w:rFonts w:hint="eastAsia" w:ascii="黑体" w:hAnsi="黑体" w:eastAsia="黑体" w:cs="黑体"/>
          <w:kern w:val="2"/>
          <w:sz w:val="32"/>
          <w:szCs w:val="32"/>
        </w:rPr>
        <w:t>离心式通风机信息汇总表</w:t>
      </w:r>
    </w:p>
    <w:tbl>
      <w:tblPr>
        <w:tblStyle w:val="6"/>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240" w:lineRule="auto"/>
        <w:ind w:firstLine="0" w:firstLineChars="0"/>
        <w:jc w:val="center"/>
        <w:rPr>
          <w:rFonts w:hint="eastAsia" w:ascii="黑体" w:hAnsi="黑体" w:eastAsia="黑体" w:cs="黑体"/>
          <w:kern w:val="2"/>
          <w:sz w:val="32"/>
          <w:szCs w:val="32"/>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15 </w:t>
      </w:r>
      <w:r>
        <w:rPr>
          <w:rFonts w:hint="eastAsia" w:ascii="黑体" w:hAnsi="黑体" w:eastAsia="黑体" w:cs="黑体"/>
          <w:kern w:val="2"/>
          <w:sz w:val="32"/>
          <w:szCs w:val="32"/>
        </w:rPr>
        <w:t>轴流式通风机信息汇总表</w:t>
      </w:r>
    </w:p>
    <w:tbl>
      <w:tblPr>
        <w:tblStyle w:val="6"/>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240" w:lineRule="auto"/>
        <w:ind w:firstLine="0" w:firstLineChars="0"/>
        <w:jc w:val="center"/>
        <w:rPr>
          <w:rFonts w:hint="eastAsia" w:ascii="黑体" w:hAnsi="黑体" w:eastAsia="黑体" w:cs="黑体"/>
          <w:kern w:val="2"/>
          <w:sz w:val="32"/>
          <w:szCs w:val="32"/>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16 </w:t>
      </w:r>
      <w:r>
        <w:rPr>
          <w:rFonts w:hint="eastAsia" w:ascii="黑体" w:hAnsi="黑体" w:eastAsia="黑体" w:cs="黑体"/>
          <w:kern w:val="2"/>
          <w:sz w:val="32"/>
          <w:szCs w:val="32"/>
        </w:rPr>
        <w:t>离心式鼓风机信息汇总表</w:t>
      </w:r>
    </w:p>
    <w:tbl>
      <w:tblPr>
        <w:tblStyle w:val="6"/>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pStyle w:val="2"/>
        <w:spacing w:before="42"/>
        <w:ind w:left="120"/>
        <w:jc w:val="center"/>
        <w:rPr>
          <w:rFonts w:ascii="Tahoma"/>
          <w:b/>
          <w:sz w:val="24"/>
        </w:rPr>
      </w:pPr>
    </w:p>
    <w:sectPr>
      <w:footerReference r:id="rId5" w:type="default"/>
      <w:pgSz w:w="16840" w:h="11910" w:orient="landscape"/>
      <w:pgMar w:top="1680" w:right="1800" w:bottom="1520" w:left="1960" w:header="0" w:footer="177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3683635</wp:posOffset>
              </wp:positionH>
              <wp:positionV relativeFrom="page">
                <wp:posOffset>9427210</wp:posOffset>
              </wp:positionV>
              <wp:extent cx="283845" cy="209550"/>
              <wp:effectExtent l="0" t="0" r="0" b="0"/>
              <wp:wrapNone/>
              <wp:docPr id="2" name="docshape1"/>
              <wp:cNvGraphicFramePr/>
              <a:graphic xmlns:a="http://schemas.openxmlformats.org/drawingml/2006/main">
                <a:graphicData uri="http://schemas.microsoft.com/office/word/2010/wordprocessingShape">
                  <wps:wsp>
                    <wps:cNvSpPr txBox="1">
                      <a:spLocks noChangeArrowheads="1"/>
                    </wps:cNvSpPr>
                    <wps:spPr bwMode="auto">
                      <a:xfrm>
                        <a:off x="0" y="0"/>
                        <a:ext cx="283845" cy="209550"/>
                      </a:xfrm>
                      <a:prstGeom prst="rect">
                        <a:avLst/>
                      </a:prstGeom>
                      <a:noFill/>
                      <a:ln>
                        <a:noFill/>
                      </a:ln>
                    </wps:spPr>
                    <wps:txbx>
                      <w:txbxContent>
                        <w:p>
                          <w:pPr>
                            <w:spacing w:before="20"/>
                            <w:ind w:left="60"/>
                            <w:rPr>
                              <w:rFonts w:ascii="Tahoma"/>
                              <w:b/>
                              <w:sz w:val="24"/>
                            </w:rPr>
                          </w:pPr>
                          <w:r>
                            <w:rPr>
                              <w:rFonts w:hint="eastAsia" w:asciiTheme="minorEastAsia" w:hAnsiTheme="minorEastAsia" w:eastAsiaTheme="minorEastAsia" w:cstheme="minorEastAsia"/>
                              <w:b w:val="0"/>
                              <w:bCs/>
                              <w:spacing w:val="-5"/>
                              <w:sz w:val="24"/>
                            </w:rPr>
                            <w:fldChar w:fldCharType="begin"/>
                          </w:r>
                          <w:r>
                            <w:rPr>
                              <w:rFonts w:hint="eastAsia" w:asciiTheme="minorEastAsia" w:hAnsiTheme="minorEastAsia" w:eastAsiaTheme="minorEastAsia" w:cstheme="minorEastAsia"/>
                              <w:b w:val="0"/>
                              <w:bCs/>
                              <w:spacing w:val="-5"/>
                              <w:sz w:val="24"/>
                            </w:rPr>
                            <w:instrText xml:space="preserve"> PAGE </w:instrText>
                          </w:r>
                          <w:r>
                            <w:rPr>
                              <w:rFonts w:hint="eastAsia" w:asciiTheme="minorEastAsia" w:hAnsiTheme="minorEastAsia" w:eastAsiaTheme="minorEastAsia" w:cstheme="minorEastAsia"/>
                              <w:b w:val="0"/>
                              <w:bCs/>
                              <w:spacing w:val="-5"/>
                              <w:sz w:val="24"/>
                            </w:rPr>
                            <w:fldChar w:fldCharType="separate"/>
                          </w:r>
                          <w:r>
                            <w:rPr>
                              <w:rFonts w:hint="eastAsia" w:asciiTheme="minorEastAsia" w:hAnsiTheme="minorEastAsia" w:eastAsiaTheme="minorEastAsia" w:cstheme="minorEastAsia"/>
                              <w:b w:val="0"/>
                              <w:bCs/>
                              <w:spacing w:val="-5"/>
                              <w:sz w:val="24"/>
                            </w:rPr>
                            <w:t>10</w:t>
                          </w:r>
                          <w:r>
                            <w:rPr>
                              <w:rFonts w:hint="eastAsia" w:asciiTheme="minorEastAsia" w:hAnsiTheme="minorEastAsia" w:eastAsiaTheme="minorEastAsia" w:cstheme="minorEastAsia"/>
                              <w:b w:val="0"/>
                              <w:bCs/>
                              <w:spacing w:val="-5"/>
                              <w:sz w:val="24"/>
                            </w:rPr>
                            <w:fldChar w:fldCharType="end"/>
                          </w:r>
                        </w:p>
                      </w:txbxContent>
                    </wps:txbx>
                    <wps:bodyPr rot="0" vert="horz" wrap="square" lIns="0" tIns="0" rIns="0" bIns="0" anchor="t" anchorCtr="0" upright="1">
                      <a:noAutofit/>
                    </wps:bodyPr>
                  </wps:wsp>
                </a:graphicData>
              </a:graphic>
            </wp:anchor>
          </w:drawing>
        </mc:Choice>
        <mc:Fallback>
          <w:pict>
            <v:shape id="docshape1" o:spid="_x0000_s1026" o:spt="202" type="#_x0000_t202" style="position:absolute;left:0pt;margin-left:290.05pt;margin-top:742.3pt;height:16.5pt;width:22.35pt;mso-position-horizontal-relative:page;mso-position-vertical-relative:page;z-index:-251657216;mso-width-relative:page;mso-height-relative:page;" filled="f" stroked="f" coordsize="21600,21600" o:gfxdata="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FLkznbAAAADQEAAA8AAAAAAAAAAQAgAAAAIgAAAGRycy9kb3du&#10;cmV2LnhtbFBLAQIUABQAAAAIAIdO4kB4x35O/AEAAAIEAAAOAAAAAAAAAAEAIAAAACoBAABkcnMv&#10;ZTJvRG9jLnhtbFBLBQYAAAAABgAGAFkBAACYBQAAAAA=&#10;">
              <v:fill on="f" focussize="0,0"/>
              <v:stroke on="f"/>
              <v:imagedata o:title=""/>
              <o:lock v:ext="edit" aspectratio="f"/>
              <v:textbox inset="0mm,0mm,0mm,0mm">
                <w:txbxContent>
                  <w:p>
                    <w:pPr>
                      <w:spacing w:before="20"/>
                      <w:ind w:left="60"/>
                      <w:rPr>
                        <w:rFonts w:ascii="Tahoma"/>
                        <w:b/>
                        <w:sz w:val="24"/>
                      </w:rPr>
                    </w:pPr>
                    <w:r>
                      <w:rPr>
                        <w:rFonts w:hint="eastAsia" w:asciiTheme="minorEastAsia" w:hAnsiTheme="minorEastAsia" w:eastAsiaTheme="minorEastAsia" w:cstheme="minorEastAsia"/>
                        <w:b w:val="0"/>
                        <w:bCs/>
                        <w:spacing w:val="-5"/>
                        <w:sz w:val="24"/>
                      </w:rPr>
                      <w:fldChar w:fldCharType="begin"/>
                    </w:r>
                    <w:r>
                      <w:rPr>
                        <w:rFonts w:hint="eastAsia" w:asciiTheme="minorEastAsia" w:hAnsiTheme="minorEastAsia" w:eastAsiaTheme="minorEastAsia" w:cstheme="minorEastAsia"/>
                        <w:b w:val="0"/>
                        <w:bCs/>
                        <w:spacing w:val="-5"/>
                        <w:sz w:val="24"/>
                      </w:rPr>
                      <w:instrText xml:space="preserve"> PAGE </w:instrText>
                    </w:r>
                    <w:r>
                      <w:rPr>
                        <w:rFonts w:hint="eastAsia" w:asciiTheme="minorEastAsia" w:hAnsiTheme="minorEastAsia" w:eastAsiaTheme="minorEastAsia" w:cstheme="minorEastAsia"/>
                        <w:b w:val="0"/>
                        <w:bCs/>
                        <w:spacing w:val="-5"/>
                        <w:sz w:val="24"/>
                      </w:rPr>
                      <w:fldChar w:fldCharType="separate"/>
                    </w:r>
                    <w:r>
                      <w:rPr>
                        <w:rFonts w:hint="eastAsia" w:asciiTheme="minorEastAsia" w:hAnsiTheme="minorEastAsia" w:eastAsiaTheme="minorEastAsia" w:cstheme="minorEastAsia"/>
                        <w:b w:val="0"/>
                        <w:bCs/>
                        <w:spacing w:val="-5"/>
                        <w:sz w:val="24"/>
                      </w:rPr>
                      <w:t>10</w:t>
                    </w:r>
                    <w:r>
                      <w:rPr>
                        <w:rFonts w:hint="eastAsia" w:asciiTheme="minorEastAsia" w:hAnsiTheme="minorEastAsia" w:eastAsiaTheme="minorEastAsia" w:cstheme="minorEastAsia"/>
                        <w:b w:val="0"/>
                        <w:bCs/>
                        <w:spacing w:val="-5"/>
                        <w:sz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mc:AlternateContent>
        <mc:Choice Requires="wps">
          <w:drawing>
            <wp:anchor distT="0" distB="0" distL="114300" distR="114300" simplePos="0" relativeHeight="251660288" behindDoc="1" locked="0" layoutInCell="1" allowOverlap="1">
              <wp:simplePos x="0" y="0"/>
              <wp:positionH relativeFrom="page">
                <wp:posOffset>5248910</wp:posOffset>
              </wp:positionH>
              <wp:positionV relativeFrom="page">
                <wp:posOffset>6295390</wp:posOffset>
              </wp:positionV>
              <wp:extent cx="283845" cy="209550"/>
              <wp:effectExtent l="0" t="0" r="0" b="0"/>
              <wp:wrapNone/>
              <wp:docPr id="1" name="docshape2"/>
              <wp:cNvGraphicFramePr/>
              <a:graphic xmlns:a="http://schemas.openxmlformats.org/drawingml/2006/main">
                <a:graphicData uri="http://schemas.microsoft.com/office/word/2010/wordprocessingShape">
                  <wps:wsp>
                    <wps:cNvSpPr txBox="1">
                      <a:spLocks noChangeArrowheads="1"/>
                    </wps:cNvSpPr>
                    <wps:spPr bwMode="auto">
                      <a:xfrm>
                        <a:off x="0" y="0"/>
                        <a:ext cx="283845" cy="209550"/>
                      </a:xfrm>
                      <a:prstGeom prst="rect">
                        <a:avLst/>
                      </a:prstGeom>
                      <a:noFill/>
                      <a:ln>
                        <a:noFill/>
                      </a:ln>
                    </wps:spPr>
                    <wps:txbx>
                      <w:txbxContent>
                        <w:p>
                          <w:pPr>
                            <w:spacing w:before="20"/>
                            <w:ind w:left="60"/>
                            <w:rPr>
                              <w:rFonts w:ascii="Tahoma"/>
                              <w:b/>
                              <w:sz w:val="24"/>
                            </w:rPr>
                          </w:pPr>
                        </w:p>
                      </w:txbxContent>
                    </wps:txbx>
                    <wps:bodyPr rot="0" vert="horz" wrap="square" lIns="0" tIns="0" rIns="0" bIns="0" anchor="t" anchorCtr="0" upright="1">
                      <a:noAutofit/>
                    </wps:bodyPr>
                  </wps:wsp>
                </a:graphicData>
              </a:graphic>
            </wp:anchor>
          </w:drawing>
        </mc:Choice>
        <mc:Fallback>
          <w:pict>
            <v:shape id="docshape2" o:spid="_x0000_s1026" o:spt="202" type="#_x0000_t202" style="position:absolute;left:0pt;margin-left:413.3pt;margin-top:495.7pt;height:16.5pt;width:22.35pt;mso-position-horizontal-relative:page;mso-position-vertical-relative:page;z-index:-251656192;mso-width-relative:page;mso-height-relative:page;" filled="f" stroked="f" coordsize="21600,21600" o:gfxdata="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sKzuzbAAAADAEAAA8AAAAAAAAAAQAgAAAAIgAAAGRycy9kb3du&#10;cmV2LnhtbFBLAQIUABQAAAAIAIdO4kDRKaP2/AEAAAIEAAAOAAAAAAAAAAEAIAAAACoBAABkcnMv&#10;ZTJvRG9jLnhtbFBLBQYAAAAABgAGAFkBAACYBQAAAAA=&#10;">
              <v:fill on="f" focussize="0,0"/>
              <v:stroke on="f"/>
              <v:imagedata o:title=""/>
              <o:lock v:ext="edit" aspectratio="f"/>
              <v:textbox inset="0mm,0mm,0mm,0mm">
                <w:txbxContent>
                  <w:p>
                    <w:pPr>
                      <w:spacing w:before="20"/>
                      <w:ind w:left="60"/>
                      <w:rPr>
                        <w:rFonts w:ascii="Tahoma"/>
                        <w:b/>
                        <w:sz w:val="24"/>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5F7C51"/>
    <w:multiLevelType w:val="multilevel"/>
    <w:tmpl w:val="5C5F7C51"/>
    <w:lvl w:ilvl="0" w:tentative="0">
      <w:start w:val="2"/>
      <w:numFmt w:val="decimal"/>
      <w:lvlText w:val="%1."/>
      <w:lvlJc w:val="left"/>
      <w:pPr>
        <w:ind w:left="1421" w:hanging="241"/>
        <w:jc w:val="left"/>
      </w:pPr>
      <w:rPr>
        <w:rFonts w:hint="default" w:ascii="仿宋" w:hAnsi="仿宋" w:eastAsia="仿宋" w:cs="仿宋"/>
        <w:b w:val="0"/>
        <w:bCs w:val="0"/>
        <w:i w:val="0"/>
        <w:iCs w:val="0"/>
        <w:w w:val="100"/>
        <w:sz w:val="22"/>
        <w:szCs w:val="22"/>
        <w:lang w:val="en-US" w:eastAsia="zh-CN" w:bidi="ar-SA"/>
      </w:rPr>
    </w:lvl>
    <w:lvl w:ilvl="1" w:tentative="0">
      <w:start w:val="0"/>
      <w:numFmt w:val="bullet"/>
      <w:lvlText w:val="•"/>
      <w:lvlJc w:val="left"/>
      <w:pPr>
        <w:ind w:left="2729" w:hanging="241"/>
      </w:pPr>
      <w:rPr>
        <w:rFonts w:hint="default"/>
        <w:lang w:val="en-US" w:eastAsia="zh-CN" w:bidi="ar-SA"/>
      </w:rPr>
    </w:lvl>
    <w:lvl w:ilvl="2" w:tentative="0">
      <w:start w:val="0"/>
      <w:numFmt w:val="bullet"/>
      <w:lvlText w:val="•"/>
      <w:lvlJc w:val="left"/>
      <w:pPr>
        <w:ind w:left="4039" w:hanging="241"/>
      </w:pPr>
      <w:rPr>
        <w:rFonts w:hint="default"/>
        <w:lang w:val="en-US" w:eastAsia="zh-CN" w:bidi="ar-SA"/>
      </w:rPr>
    </w:lvl>
    <w:lvl w:ilvl="3" w:tentative="0">
      <w:start w:val="0"/>
      <w:numFmt w:val="bullet"/>
      <w:lvlText w:val="•"/>
      <w:lvlJc w:val="left"/>
      <w:pPr>
        <w:ind w:left="5349" w:hanging="241"/>
      </w:pPr>
      <w:rPr>
        <w:rFonts w:hint="default"/>
        <w:lang w:val="en-US" w:eastAsia="zh-CN" w:bidi="ar-SA"/>
      </w:rPr>
    </w:lvl>
    <w:lvl w:ilvl="4" w:tentative="0">
      <w:start w:val="0"/>
      <w:numFmt w:val="bullet"/>
      <w:lvlText w:val="•"/>
      <w:lvlJc w:val="left"/>
      <w:pPr>
        <w:ind w:left="6659" w:hanging="241"/>
      </w:pPr>
      <w:rPr>
        <w:rFonts w:hint="default"/>
        <w:lang w:val="en-US" w:eastAsia="zh-CN" w:bidi="ar-SA"/>
      </w:rPr>
    </w:lvl>
    <w:lvl w:ilvl="5" w:tentative="0">
      <w:start w:val="0"/>
      <w:numFmt w:val="bullet"/>
      <w:lvlText w:val="•"/>
      <w:lvlJc w:val="left"/>
      <w:pPr>
        <w:ind w:left="7969" w:hanging="241"/>
      </w:pPr>
      <w:rPr>
        <w:rFonts w:hint="default"/>
        <w:lang w:val="en-US" w:eastAsia="zh-CN" w:bidi="ar-SA"/>
      </w:rPr>
    </w:lvl>
    <w:lvl w:ilvl="6" w:tentative="0">
      <w:start w:val="0"/>
      <w:numFmt w:val="bullet"/>
      <w:lvlText w:val="•"/>
      <w:lvlJc w:val="left"/>
      <w:pPr>
        <w:ind w:left="9278" w:hanging="241"/>
      </w:pPr>
      <w:rPr>
        <w:rFonts w:hint="default"/>
        <w:lang w:val="en-US" w:eastAsia="zh-CN" w:bidi="ar-SA"/>
      </w:rPr>
    </w:lvl>
    <w:lvl w:ilvl="7" w:tentative="0">
      <w:start w:val="0"/>
      <w:numFmt w:val="bullet"/>
      <w:lvlText w:val="•"/>
      <w:lvlJc w:val="left"/>
      <w:pPr>
        <w:ind w:left="10588" w:hanging="241"/>
      </w:pPr>
      <w:rPr>
        <w:rFonts w:hint="default"/>
        <w:lang w:val="en-US" w:eastAsia="zh-CN" w:bidi="ar-SA"/>
      </w:rPr>
    </w:lvl>
    <w:lvl w:ilvl="8" w:tentative="0">
      <w:start w:val="0"/>
      <w:numFmt w:val="bullet"/>
      <w:lvlText w:val="•"/>
      <w:lvlJc w:val="left"/>
      <w:pPr>
        <w:ind w:left="11898" w:hanging="241"/>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0YjI4NGQyYWQ0YmJhYzY3ZTI2YTQwZTYxYjcyMzEifQ=="/>
  </w:docVars>
  <w:rsids>
    <w:rsidRoot w:val="004D348D"/>
    <w:rsid w:val="004D348D"/>
    <w:rsid w:val="00895118"/>
    <w:rsid w:val="009C0A32"/>
    <w:rsid w:val="104F3F68"/>
    <w:rsid w:val="138E4DA7"/>
    <w:rsid w:val="13E250F3"/>
    <w:rsid w:val="13F53078"/>
    <w:rsid w:val="17190E2C"/>
    <w:rsid w:val="18910E95"/>
    <w:rsid w:val="1C112A19"/>
    <w:rsid w:val="1C2C6935"/>
    <w:rsid w:val="1C5B5A42"/>
    <w:rsid w:val="1CDD28FB"/>
    <w:rsid w:val="2F713EE7"/>
    <w:rsid w:val="346D548C"/>
    <w:rsid w:val="36BB2CF6"/>
    <w:rsid w:val="3E6B5B61"/>
    <w:rsid w:val="3EB94A06"/>
    <w:rsid w:val="401C4F48"/>
    <w:rsid w:val="44581993"/>
    <w:rsid w:val="452B614F"/>
    <w:rsid w:val="47925F0D"/>
    <w:rsid w:val="4FD35314"/>
    <w:rsid w:val="50FE0AB7"/>
    <w:rsid w:val="540B3C9E"/>
    <w:rsid w:val="56A703F5"/>
    <w:rsid w:val="591075D9"/>
    <w:rsid w:val="5E9D0FA2"/>
    <w:rsid w:val="65314B5F"/>
    <w:rsid w:val="67F12E16"/>
    <w:rsid w:val="6844104D"/>
    <w:rsid w:val="6CF22E26"/>
    <w:rsid w:val="73C66DBA"/>
    <w:rsid w:val="746E36DA"/>
    <w:rsid w:val="758807CB"/>
    <w:rsid w:val="76191423"/>
    <w:rsid w:val="7B3411CB"/>
    <w:rsid w:val="7CE3278B"/>
    <w:rsid w:val="7E957AB5"/>
    <w:rsid w:val="7FE44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仿宋" w:hAnsi="仿宋" w:eastAsia="仿宋" w:cs="仿宋"/>
      <w:sz w:val="22"/>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pPr>
      <w:ind w:left="357"/>
    </w:pPr>
    <w:rPr>
      <w:sz w:val="32"/>
      <w:szCs w:val="32"/>
    </w:rPr>
  </w:style>
  <w:style w:type="paragraph" w:styleId="3">
    <w:name w:val="footer"/>
    <w:basedOn w:val="1"/>
    <w:link w:val="12"/>
    <w:autoRedefine/>
    <w:unhideWhenUsed/>
    <w:qFormat/>
    <w:uiPriority w:val="99"/>
    <w:pPr>
      <w:tabs>
        <w:tab w:val="center" w:pos="4153"/>
        <w:tab w:val="right" w:pos="8306"/>
      </w:tabs>
      <w:snapToGrid w:val="0"/>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179"/>
      <w:ind w:left="1574" w:right="1554"/>
      <w:jc w:val="center"/>
    </w:pPr>
    <w:rPr>
      <w:rFonts w:ascii="宋体" w:hAnsi="宋体" w:eastAsia="宋体" w:cs="宋体"/>
      <w:sz w:val="44"/>
      <w:szCs w:val="44"/>
    </w:rPr>
  </w:style>
  <w:style w:type="table" w:customStyle="1" w:styleId="8">
    <w:name w:val="Table Normal"/>
    <w:autoRedefine/>
    <w:semiHidden/>
    <w:unhideWhenUsed/>
    <w:qFormat/>
    <w:uiPriority w:val="2"/>
    <w:tblPr>
      <w:tblCellMar>
        <w:top w:w="0" w:type="dxa"/>
        <w:left w:w="0" w:type="dxa"/>
        <w:bottom w:w="0" w:type="dxa"/>
        <w:right w:w="0" w:type="dxa"/>
      </w:tblCellMar>
    </w:tblPr>
  </w:style>
  <w:style w:type="paragraph" w:styleId="9">
    <w:name w:val="List Paragraph"/>
    <w:basedOn w:val="1"/>
    <w:autoRedefine/>
    <w:qFormat/>
    <w:uiPriority w:val="1"/>
    <w:pPr>
      <w:ind w:left="1082" w:hanging="323"/>
    </w:pPr>
  </w:style>
  <w:style w:type="paragraph" w:customStyle="1" w:styleId="10">
    <w:name w:val="Table Paragraph"/>
    <w:basedOn w:val="1"/>
    <w:autoRedefine/>
    <w:qFormat/>
    <w:uiPriority w:val="1"/>
  </w:style>
  <w:style w:type="character" w:customStyle="1" w:styleId="11">
    <w:name w:val="页眉 字符"/>
    <w:basedOn w:val="7"/>
    <w:link w:val="4"/>
    <w:autoRedefine/>
    <w:qFormat/>
    <w:uiPriority w:val="99"/>
    <w:rPr>
      <w:rFonts w:ascii="仿宋" w:hAnsi="仿宋" w:eastAsia="仿宋" w:cs="仿宋"/>
      <w:sz w:val="18"/>
      <w:szCs w:val="18"/>
      <w:lang w:eastAsia="zh-CN"/>
    </w:rPr>
  </w:style>
  <w:style w:type="character" w:customStyle="1" w:styleId="12">
    <w:name w:val="页脚 字符"/>
    <w:basedOn w:val="7"/>
    <w:link w:val="3"/>
    <w:autoRedefine/>
    <w:qFormat/>
    <w:uiPriority w:val="99"/>
    <w:rPr>
      <w:rFonts w:ascii="仿宋" w:hAnsi="仿宋" w:eastAsia="仿宋" w:cs="仿宋"/>
      <w:sz w:val="18"/>
      <w:szCs w:val="18"/>
      <w:lang w:eastAsia="zh-CN"/>
    </w:rPr>
  </w:style>
  <w:style w:type="character" w:customStyle="1" w:styleId="13">
    <w:name w:val="font11"/>
    <w:qFormat/>
    <w:uiPriority w:val="0"/>
    <w:rPr>
      <w:rFonts w:hint="eastAsia" w:ascii="方正黑体_GBK" w:hAnsi="方正黑体_GBK" w:eastAsia="方正黑体_GBK" w:cs="方正黑体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4306</Words>
  <Characters>4593</Characters>
  <Lines>37</Lines>
  <Paragraphs>10</Paragraphs>
  <TotalTime>9</TotalTime>
  <ScaleCrop>false</ScaleCrop>
  <LinksUpToDate>false</LinksUpToDate>
  <CharactersWithSpaces>4651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2022-11-20T14:48:00Z</dcterms:created>
  <dc:creator>Administrator</dc:creator>
  <cp:lastModifiedBy>WonderBoy</cp:lastModifiedBy>
  <dcterms:modified xsi:type="dcterms:W3CDTF">2024-06-04T06:47:01Z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2022-09-28T00:00:00Z</vt:filetime>
  </property>
  <property fmtid="{D5CDD505-2E9C-101B-9397-08002B2CF9AE}" pid="3" name="Creator">
    <vt:lpwstr>WPS Office</vt:lpwstr>
  </property>
  <property fmtid="{D5CDD505-2E9C-101B-9397-08002B2CF9AE}" pid="4" name="LastSaved">
    <vt:filetime>2022-11-17T00:00:00Z</vt:filetime>
  </property>
  <property fmtid="{D5CDD505-2E9C-101B-9397-08002B2CF9AE}" pid="5" name="KSOProductBuildVer">
    <vt:lpwstr>2052-12.1.0.16929</vt:lpwstr>
  </property>
  <property fmtid="{D5CDD505-2E9C-101B-9397-08002B2CF9AE}" pid="6" name="ICV">
    <vt:lpwstr>43DC87FCB4B241568973E2334A23FCF9_12</vt:lpwstr>
  </property>
</Properties>
</file>