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/>
          <w:sz w:val="32"/>
          <w:szCs w:val="32"/>
        </w:rPr>
        <w:t>附件：</w:t>
      </w:r>
    </w:p>
    <w:p>
      <w:pPr>
        <w:spacing w:line="560" w:lineRule="exact"/>
        <w:ind w:left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山西省钢铁行业转型升级2023年行动计划</w:t>
      </w:r>
    </w:p>
    <w:p>
      <w:pPr>
        <w:spacing w:line="560" w:lineRule="exact"/>
        <w:ind w:left="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0" w:firstLine="64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为贯彻落实国家和省委、省政府决策部署，推动我省钢铁行业改造升级，实现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高端化、智能化、绿色化</w:t>
      </w:r>
      <w:r>
        <w:rPr>
          <w:rFonts w:ascii="仿宋_GB2312" w:eastAsia="仿宋_GB2312"/>
          <w:sz w:val="32"/>
          <w:szCs w:val="32"/>
        </w:rPr>
        <w:t>高质量发展，特制定本行动计划。</w:t>
      </w:r>
    </w:p>
    <w:p>
      <w:pPr>
        <w:numPr>
          <w:ilvl w:val="0"/>
          <w:numId w:val="1"/>
        </w:num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指导思想</w:t>
      </w:r>
    </w:p>
    <w:p>
      <w:pPr>
        <w:spacing w:line="560" w:lineRule="exact"/>
        <w:ind w:left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全面贯彻落实党的二十大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、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习近平总书记考察调研山西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重要讲话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重要指示和中央经济工作会议精神，按照省委经济工作会和“两会”工作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部署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围绕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高端化、智能化、绿色化发展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以加快构建现代化产业体系为主要目标，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全力抓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好钢铁行业改造升级，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锻长板、补短板、强基础，提升产业链供应链韧性和安全水平，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推动钢铁行业转型升级，实现高质量发展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工作目标</w:t>
      </w:r>
    </w:p>
    <w:p>
      <w:pPr>
        <w:spacing w:line="560" w:lineRule="exact"/>
        <w:ind w:left="0" w:firstLine="0"/>
        <w:rPr>
          <w:rFonts w:ascii="仿宋_GB2312" w:eastAsia="仿宋_GB2312"/>
          <w:bCs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2023年，</w:t>
      </w:r>
      <w:r>
        <w:rPr>
          <w:rFonts w:ascii="仿宋_GB2312" w:eastAsia="仿宋_GB2312"/>
          <w:bCs w:val="0"/>
          <w:sz w:val="32"/>
          <w:szCs w:val="32"/>
        </w:rPr>
        <w:t>全行业保持平稳运行，先进产能占比进一步提升，产业链供应链韧性进一步加强，特钢材料产业链基本形成，企业能耗和污染物排放进一步降低，数字化、智能化水平持续提升，全行业综合能力向国内先进水平迈进。</w:t>
      </w:r>
    </w:p>
    <w:p>
      <w:pPr>
        <w:numPr>
          <w:ilvl w:val="0"/>
          <w:numId w:val="1"/>
        </w:num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重点任务</w:t>
      </w:r>
    </w:p>
    <w:p>
      <w:pPr>
        <w:spacing w:line="560" w:lineRule="exact"/>
        <w:ind w:firstLine="64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（一）加快限制类工艺装备升级改造。</w:t>
      </w:r>
      <w:r>
        <w:rPr>
          <w:rFonts w:ascii="仿宋_GB2312" w:eastAsia="仿宋_GB2312"/>
          <w:bCs w:val="0"/>
          <w:sz w:val="32"/>
          <w:szCs w:val="32"/>
        </w:rPr>
        <w:t>推动出台《山西省钢铁企业限制类工艺装备升级改造实施方案》，</w:t>
      </w:r>
      <w:r>
        <w:rPr>
          <w:rFonts w:hint="eastAsia" w:ascii="仿宋_GB2312" w:eastAsia="仿宋_GB2312"/>
          <w:bCs w:val="0"/>
          <w:sz w:val="32"/>
          <w:szCs w:val="32"/>
        </w:rPr>
        <w:t>要求1200立方米以下高炉、100吨以下转炉（电炉）、50吨以下合金电炉</w:t>
      </w:r>
      <w:r>
        <w:rPr>
          <w:rFonts w:ascii="仿宋_GB2312" w:eastAsia="仿宋_GB2312"/>
          <w:bCs w:val="0"/>
          <w:sz w:val="32"/>
          <w:szCs w:val="32"/>
        </w:rPr>
        <w:t>逐步</w:t>
      </w:r>
      <w:r>
        <w:rPr>
          <w:rFonts w:hint="eastAsia" w:ascii="仿宋_GB2312" w:eastAsia="仿宋_GB2312"/>
          <w:bCs w:val="0"/>
          <w:sz w:val="32"/>
          <w:szCs w:val="32"/>
        </w:rPr>
        <w:t>实施产能置换，按照“先立后破”原则</w:t>
      </w:r>
      <w:r>
        <w:rPr>
          <w:rFonts w:ascii="仿宋_GB2312" w:eastAsia="仿宋_GB2312"/>
          <w:bCs w:val="0"/>
          <w:sz w:val="32"/>
          <w:szCs w:val="32"/>
        </w:rPr>
        <w:t>有序</w:t>
      </w:r>
      <w:r>
        <w:rPr>
          <w:rFonts w:hint="eastAsia" w:ascii="仿宋_GB2312" w:eastAsia="仿宋_GB2312"/>
          <w:bCs w:val="0"/>
          <w:sz w:val="32"/>
          <w:szCs w:val="32"/>
        </w:rPr>
        <w:t>退出。</w:t>
      </w:r>
      <w:r>
        <w:rPr>
          <w:rFonts w:ascii="仿宋_GB2312" w:eastAsia="仿宋_GB2312"/>
          <w:bCs w:val="0"/>
          <w:sz w:val="32"/>
          <w:szCs w:val="32"/>
        </w:rPr>
        <w:t>力争到</w:t>
      </w:r>
      <w:r>
        <w:rPr>
          <w:rFonts w:hint="eastAsia" w:ascii="仿宋_GB2312" w:eastAsia="仿宋_GB2312"/>
          <w:bCs w:val="0"/>
          <w:sz w:val="32"/>
          <w:szCs w:val="32"/>
        </w:rPr>
        <w:t>2025年实现先进工艺装备产能占比达到90%以上。</w:t>
      </w:r>
      <w:r>
        <w:rPr>
          <w:rFonts w:ascii="仿宋_GB2312" w:eastAsia="仿宋_GB2312"/>
          <w:bCs w:val="0"/>
          <w:sz w:val="32"/>
          <w:szCs w:val="32"/>
        </w:rPr>
        <w:t>加快推进重点</w:t>
      </w:r>
      <w:r>
        <w:rPr>
          <w:rFonts w:hint="eastAsia" w:ascii="仿宋_GB2312" w:eastAsia="仿宋_GB2312"/>
          <w:bCs w:val="0"/>
          <w:sz w:val="32"/>
          <w:szCs w:val="32"/>
        </w:rPr>
        <w:t>产能置换项目建设</w:t>
      </w:r>
      <w:r>
        <w:rPr>
          <w:rFonts w:hint="eastAsia" w:ascii="仿宋_GB2312" w:eastAsia="仿宋_GB2312" w:cs="仿宋_GB2312"/>
          <w:bCs w:val="0"/>
          <w:sz w:val="32"/>
          <w:szCs w:val="32"/>
          <w:lang w:val="en-US" w:eastAsia="zh-CN" w:bidi="ar-SA"/>
        </w:rPr>
        <w:t>，力</w:t>
      </w:r>
      <w:r>
        <w:rPr>
          <w:rFonts w:ascii="仿宋_GB2312" w:eastAsia="仿宋_GB2312" w:cs="仿宋_GB2312"/>
          <w:sz w:val="32"/>
          <w:szCs w:val="32"/>
          <w:lang w:val="en-US" w:eastAsia="zh-CN" w:bidi="ar-SA"/>
        </w:rPr>
        <w:t>争年内开建一批、建成投产一批。</w:t>
      </w:r>
    </w:p>
    <w:p>
      <w:pPr>
        <w:spacing w:line="560" w:lineRule="exact"/>
        <w:ind w:firstLine="642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ascii="楷体_GB2312" w:eastAsia="楷体_GB2312"/>
          <w:b/>
          <w:sz w:val="32"/>
          <w:szCs w:val="32"/>
        </w:rPr>
        <w:t>二</w:t>
      </w:r>
      <w:r>
        <w:rPr>
          <w:rFonts w:hint="eastAsia" w:ascii="楷体_GB2312" w:eastAsia="楷体_GB2312"/>
          <w:b/>
          <w:sz w:val="32"/>
          <w:szCs w:val="32"/>
        </w:rPr>
        <w:t>）持续打造特钢产业链条。</w:t>
      </w:r>
      <w:r>
        <w:rPr>
          <w:rFonts w:hint="eastAsia" w:ascii="仿宋_GB2312" w:eastAsia="仿宋_GB2312" w:cs="仿宋_GB2312"/>
          <w:sz w:val="32"/>
          <w:szCs w:val="32"/>
        </w:rPr>
        <w:t>依托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链主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企业，积极打造特钢材料“特钢-零部件-整机装备”产业链，以“延链”、“强链”为路径，推动重点项目建设，</w:t>
      </w:r>
      <w:r>
        <w:rPr>
          <w:rFonts w:ascii="仿宋_GB2312" w:eastAsia="仿宋_GB2312" w:cs="仿宋_GB2312"/>
          <w:sz w:val="32"/>
          <w:szCs w:val="32"/>
        </w:rPr>
        <w:t>力争2023年底打造形成完整产业链条。鼓励其他钢铁企业转型发展，以“建链”为基本路径，构建特钢产业链条。</w:t>
      </w:r>
    </w:p>
    <w:p>
      <w:pPr>
        <w:spacing w:line="560" w:lineRule="exact"/>
        <w:ind w:firstLine="642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ascii="楷体_GB2312" w:eastAsia="楷体_GB2312"/>
          <w:b/>
          <w:sz w:val="32"/>
          <w:szCs w:val="32"/>
        </w:rPr>
        <w:t>三</w:t>
      </w:r>
      <w:r>
        <w:rPr>
          <w:rFonts w:hint="eastAsia" w:ascii="楷体_GB2312" w:eastAsia="楷体_GB2312"/>
          <w:b/>
          <w:sz w:val="32"/>
          <w:szCs w:val="32"/>
        </w:rPr>
        <w:t>）</w:t>
      </w:r>
      <w:r>
        <w:rPr>
          <w:rFonts w:ascii="楷体_GB2312" w:eastAsia="楷体_GB2312"/>
          <w:b/>
          <w:sz w:val="32"/>
          <w:szCs w:val="32"/>
        </w:rPr>
        <w:t>优化调整产品结构。</w:t>
      </w:r>
      <w:r>
        <w:rPr>
          <w:rFonts w:ascii="仿宋_GB2312" w:eastAsia="仿宋_GB2312" w:cs="仿宋_GB2312"/>
          <w:sz w:val="32"/>
          <w:szCs w:val="32"/>
        </w:rPr>
        <w:t>立足国内市场需求，结合我省实际，鼓励钢铁企业加快研发生产高端不锈钢、冷轧取向硅钢、冷轧薄板、优特棒线材等中高端产品，不断调整产品结构，投资建设非建筑类钢材生产线，逐步形成各具特色的钢材产品结构，非建筑类钢材产品占比力争提升3个百分点。引导企业树立品牌意识，持续提升产品质量，打造形成差异化发展产业集群，构建我省钢铁产业新发展格局。</w:t>
      </w:r>
    </w:p>
    <w:p>
      <w:pPr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（四）</w:t>
      </w:r>
      <w:r>
        <w:rPr>
          <w:rFonts w:hint="eastAsia" w:ascii="楷体_GB2312" w:eastAsia="楷体_GB2312"/>
          <w:b/>
          <w:sz w:val="32"/>
          <w:szCs w:val="32"/>
        </w:rPr>
        <w:t>加快推进兼并重组。</w:t>
      </w:r>
      <w:r>
        <w:rPr>
          <w:rFonts w:ascii="仿宋_GB2312" w:eastAsia="仿宋_GB2312"/>
          <w:sz w:val="32"/>
          <w:szCs w:val="32"/>
        </w:rPr>
        <w:t>以产能减量置换为路径，以重点龙头企业为主体，市级政府部门制定有效可行的实施方案，加快推进中、小型钢铁企业兼并重组。重点推进长治市、临汾市、吕梁市钢铁企业实质性兼并重组，构建大型企业集团。</w:t>
      </w:r>
    </w:p>
    <w:p>
      <w:pPr>
        <w:spacing w:line="56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ascii="楷体_GB2312" w:eastAsia="楷体_GB2312"/>
          <w:b/>
          <w:sz w:val="32"/>
          <w:szCs w:val="32"/>
        </w:rPr>
        <w:t>五</w:t>
      </w:r>
      <w:r>
        <w:rPr>
          <w:rFonts w:hint="eastAsia" w:ascii="楷体_GB2312" w:eastAsia="楷体_GB2312"/>
          <w:b/>
          <w:sz w:val="32"/>
          <w:szCs w:val="32"/>
        </w:rPr>
        <w:t>）推进绿色低碳转型。</w:t>
      </w:r>
      <w:r>
        <w:rPr>
          <w:rFonts w:ascii="仿宋_GB2312" w:eastAsia="仿宋_GB2312"/>
          <w:sz w:val="32"/>
          <w:szCs w:val="32"/>
        </w:rPr>
        <w:t>加快推进全省钢铁企业中钢协超低排放公示，持续推进污染物深度治理，进一步提升行业环保水平，鼓励钢铁企业积极申报环保绩效A级和“绿色工厂”。重点培育一批高炉工序、转炉工序达到国家规定能耗标杆水平的企业，持续推进吨钢综合能耗进一步降低。鼓励氢冶金在钢铁行业的示范应用，加快示范项目建成投产。鼓励长流程钢铁企业就地转型电炉炼钢，提升资源综合利用效率。</w:t>
      </w:r>
    </w:p>
    <w:p>
      <w:pPr>
        <w:spacing w:line="560" w:lineRule="exact"/>
        <w:ind w:firstLine="642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</w:t>
      </w:r>
      <w:r>
        <w:rPr>
          <w:rFonts w:ascii="楷体_GB2312" w:eastAsia="楷体_GB2312"/>
          <w:b/>
          <w:sz w:val="32"/>
          <w:szCs w:val="32"/>
        </w:rPr>
        <w:t>六</w:t>
      </w:r>
      <w:r>
        <w:rPr>
          <w:rFonts w:hint="eastAsia" w:ascii="楷体_GB2312" w:eastAsia="楷体_GB2312"/>
          <w:b/>
          <w:sz w:val="32"/>
          <w:szCs w:val="32"/>
        </w:rPr>
        <w:t>）提升资源保障能力。</w:t>
      </w:r>
      <w:r>
        <w:rPr>
          <w:rFonts w:ascii="仿宋_GB2312" w:eastAsia="仿宋_GB2312"/>
          <w:sz w:val="32"/>
          <w:szCs w:val="32"/>
        </w:rPr>
        <w:t>建立推进铁矿项目建设长效机制，坚持上下联动，强化省、市、县有关部门协调作用，持续推进重点铁矿项目建设，提升我省铁矿资源保障能力。鼓励钢铁企业积极参与铁矿、球团、铁合金等企业整合，提升产业链供应链安全水平。</w:t>
      </w:r>
    </w:p>
    <w:p>
      <w:pPr>
        <w:numPr>
          <w:ilvl w:val="0"/>
          <w:numId w:val="1"/>
        </w:num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保障措施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60" w:lineRule="exact"/>
        <w:ind w:left="0" w:right="0" w:firstLine="642" w:firstLineChars="200"/>
        <w:jc w:val="both"/>
        <w:outlineLvl w:val="9"/>
        <w:rPr>
          <w:rFonts w:hint="eastAsia" w:ascii="仿宋_GB2312" w:eastAsia="仿宋_GB2312" w:cs="仿宋_GB2312"/>
          <w:color w:val="auto"/>
          <w:sz w:val="32"/>
          <w:szCs w:val="32"/>
          <w:vertAlign w:val="baseline"/>
          <w:lang w:bidi="ar-SA"/>
        </w:rPr>
      </w:pPr>
      <w:r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（一）加强组织领导。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各市各部门要充分认识钢铁行业</w:t>
      </w:r>
      <w:r>
        <w:rPr>
          <w:rFonts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转型升级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高质量发展的重大意义，加快推进钢铁行业实施技术改造。各市人民政府对本行政区域企业技术改造</w:t>
      </w:r>
      <w:r>
        <w:rPr>
          <w:rFonts w:hint="eastAsia" w:ascii="Calibri" w:hAnsi="Calibri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工作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负总责，要制定工作方案，出台</w:t>
      </w:r>
      <w:r>
        <w:rPr>
          <w:rFonts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工作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举措，引导鼓励企业根据生产实际和工艺技术，</w:t>
      </w:r>
      <w:r>
        <w:rPr>
          <w:rFonts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通过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最优改造</w:t>
      </w:r>
      <w:r>
        <w:rPr>
          <w:rFonts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路径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，确保</w:t>
      </w:r>
      <w:r>
        <w:rPr>
          <w:rFonts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完成全年工作任务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60" w:lineRule="exact"/>
        <w:ind w:left="0" w:right="0" w:firstLine="642" w:firstLineChars="200"/>
        <w:jc w:val="both"/>
        <w:outlineLvl w:val="9"/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（二）强化政策</w:t>
      </w:r>
      <w:r>
        <w:rPr>
          <w:rFonts w:ascii="楷体" w:eastAsia="楷体" w:cs="楷体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导向</w:t>
      </w:r>
      <w:r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。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各市</w:t>
      </w:r>
      <w:r>
        <w:rPr>
          <w:rFonts w:ascii="仿宋_GB2312" w:eastAsia="仿宋_GB2312" w:cs="仿宋_GB2312"/>
          <w:sz w:val="32"/>
          <w:szCs w:val="32"/>
          <w:lang w:bidi="ar-SA"/>
        </w:rPr>
        <w:t>工业和信息化局会同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有关部门</w:t>
      </w:r>
      <w:r>
        <w:rPr>
          <w:rFonts w:ascii="仿宋_GB2312" w:eastAsia="仿宋_GB2312" w:cs="仿宋_GB2312"/>
          <w:sz w:val="32"/>
          <w:szCs w:val="32"/>
          <w:lang w:bidi="ar-SA"/>
        </w:rPr>
        <w:t>要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研究制定支持钢铁行业</w:t>
      </w:r>
      <w:r>
        <w:rPr>
          <w:rFonts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转型升级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的节能、环保、安全、财政、金融、土地等政策，强化政策间衔接配合，形成政策合力。</w:t>
      </w:r>
      <w:r>
        <w:rPr>
          <w:rFonts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持续巩固钢铁去产能和产量压减成果，严禁新增产能，严格执行产能置换政策，钢铁冶炼项目建设必须符合有关政策要求。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充分发挥</w:t>
      </w:r>
      <w:r>
        <w:rPr>
          <w:rFonts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价格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杠杆作用，落实差别化电价、阶梯水价等政策，</w:t>
      </w:r>
      <w:r>
        <w:rPr>
          <w:rFonts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有保有压，</w:t>
      </w:r>
      <w:r>
        <w:rPr>
          <w:rFonts w:hint="eastAsia" w:ascii="仿宋_GB2312" w:eastAsia="仿宋_GB2312" w:cs="仿宋_GB2312"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对优质产能、节能环保先进企业加大政策扶持力度，促进产业结构调整和技术升级。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adjustRightInd/>
        <w:snapToGrid/>
        <w:spacing w:line="560" w:lineRule="exact"/>
        <w:ind w:left="0" w:firstLine="642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（三）加强</w:t>
      </w:r>
      <w:r>
        <w:rPr>
          <w:rFonts w:ascii="楷体" w:eastAsia="楷体" w:cs="楷体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监督检查</w:t>
      </w:r>
      <w:r>
        <w:rPr>
          <w:rFonts w:hint="eastAsia" w:ascii="楷体" w:eastAsia="楷体" w:cs="楷体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。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各市人民政府要加强钢铁行业技术改造项目进度管理，不断强化工作激励和约束机制。对提前完成技术改造，达到</w:t>
      </w:r>
      <w:r>
        <w:rPr>
          <w:rFonts w:ascii="仿宋_GB2312" w:eastAsia="仿宋_GB2312" w:cs="仿宋_GB2312"/>
          <w:sz w:val="32"/>
          <w:szCs w:val="32"/>
          <w:lang w:bidi="ar-SA"/>
        </w:rPr>
        <w:t>高端化、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智能化、绿色化要求的企业，在</w:t>
      </w:r>
      <w:r>
        <w:rPr>
          <w:rFonts w:ascii="仿宋_GB2312" w:eastAsia="仿宋_GB2312" w:cs="仿宋_GB2312"/>
          <w:sz w:val="32"/>
          <w:szCs w:val="32"/>
          <w:lang w:bidi="ar-SA"/>
        </w:rPr>
        <w:t>政策执行、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资源配置、发展规划、资金信贷等方面给予优先支持；对改造</w:t>
      </w:r>
      <w:r>
        <w:rPr>
          <w:rFonts w:ascii="仿宋_GB2312" w:eastAsia="仿宋_GB2312" w:cs="仿宋_GB2312"/>
          <w:sz w:val="32"/>
          <w:szCs w:val="32"/>
          <w:lang w:bidi="ar-SA"/>
        </w:rPr>
        <w:t>升级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进度缓慢的，要加强督促指导，加</w:t>
      </w:r>
      <w:r>
        <w:rPr>
          <w:rFonts w:ascii="仿宋_GB2312" w:eastAsia="仿宋_GB2312" w:cs="仿宋_GB2312"/>
          <w:sz w:val="32"/>
          <w:szCs w:val="32"/>
          <w:lang w:bidi="ar-SA"/>
        </w:rPr>
        <w:t>大企业转型升级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推进力度。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adjustRightInd/>
        <w:snapToGrid/>
        <w:spacing w:line="560" w:lineRule="exact"/>
        <w:ind w:left="0" w:firstLine="642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" w:eastAsia="楷体" w:cs="楷体"/>
          <w:b/>
          <w:sz w:val="32"/>
          <w:szCs w:val="32"/>
          <w:lang w:bidi="ar-SA"/>
        </w:rPr>
        <w:t>（四）深化入企服务。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深入落实省委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“市场主体提升年”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，持续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ascii="Times New Roman" w:hAnsi="Times New Roman" w:eastAsia="仿宋_GB2312" w:cs="Times New Roman"/>
          <w:sz w:val="32"/>
          <w:szCs w:val="32"/>
          <w:lang w:val="en-US" w:eastAsia="zh-CN"/>
        </w:rPr>
        <w:t>常态化入企服务工作，坚持“一企一策”精准服务，为企业解决“急难愁盼”和难点堵点问题。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通过入企服务，充分发挥技改资金的支持作用，助推企业实现</w:t>
      </w:r>
      <w:r>
        <w:rPr>
          <w:rFonts w:ascii="仿宋_GB2312" w:eastAsia="仿宋_GB2312" w:cs="仿宋_GB2312"/>
          <w:sz w:val="32"/>
          <w:szCs w:val="32"/>
          <w:lang w:bidi="ar-SA"/>
        </w:rPr>
        <w:t>转型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升级高质量发展。</w:t>
      </w:r>
    </w:p>
    <w:sectPr>
      <w:pgSz w:w="11907" w:h="16840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6FEE0"/>
    <w:multiLevelType w:val="multilevel"/>
    <w:tmpl w:val="9FF6FEE0"/>
    <w:lvl w:ilvl="0" w:tentative="0">
      <w:start w:val="1"/>
      <w:numFmt w:val="chineseCountingThousand"/>
      <w:lvlText w:val="%1、"/>
      <w:legacy w:legacy="1" w:legacySpace="0" w:legacyIndent="640"/>
      <w:lvlJc w:val="left"/>
      <w:pPr>
        <w:ind w:left="1285" w:hanging="64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485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905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325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745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165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585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4005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NGEyNzFlMTkxYmQ0MDAzZGFiMGIwZGUzYTA1ODUxZjEifQ=="/>
  </w:docVars>
  <w:rsids>
    <w:rsidRoot w:val="00000000"/>
    <w:rsid w:val="13EEA5B5"/>
    <w:rsid w:val="7F910363"/>
    <w:rsid w:val="EDFC9F0E"/>
    <w:rsid w:val="FFCF1C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5</Pages>
  <Words>1948</Words>
  <Characters>1981</Characters>
  <Lines>108</Lines>
  <Paragraphs>26</Paragraphs>
  <TotalTime>62</TotalTime>
  <ScaleCrop>false</ScaleCrop>
  <LinksUpToDate>false</LinksUpToDate>
  <CharactersWithSpaces>2042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2020-05-08T22:11:00Z</dcterms:created>
  <dc:creator>User274</dc:creator>
  <cp:lastModifiedBy>greatwall</cp:lastModifiedBy>
  <cp:lastPrinted>2023-02-28T00:57:00Z</cp:lastPrinted>
  <dcterms:modified xsi:type="dcterms:W3CDTF">2023-04-06T11:21:35Z</dcterms:modified>
  <dc:title>关于印发《山西省钢铁行业转型升级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E86C0EAA949D4116835F9250518B2753</vt:lpwstr>
  </property>
</Properties>
</file>